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theme="minorBidi"/>
          <w:b/>
          <w:sz w:val="36"/>
          <w:szCs w:val="36"/>
        </w:rPr>
      </w:pPr>
      <w:r>
        <w:rPr>
          <w:rFonts w:hint="eastAsia" w:ascii="仿宋" w:hAnsi="仿宋" w:eastAsia="仿宋" w:cstheme="minorBidi"/>
          <w:b/>
          <w:sz w:val="36"/>
          <w:szCs w:val="36"/>
        </w:rPr>
        <w:t>浙江省“一带一路”建设智库支</w:t>
      </w:r>
      <w:bookmarkStart w:id="0" w:name="_GoBack"/>
      <w:bookmarkEnd w:id="0"/>
      <w:r>
        <w:rPr>
          <w:rFonts w:hint="eastAsia" w:ascii="仿宋" w:hAnsi="仿宋" w:eastAsia="仿宋" w:cstheme="minorBidi"/>
          <w:b/>
          <w:sz w:val="36"/>
          <w:szCs w:val="36"/>
        </w:rPr>
        <w:t>持单位推荐表</w:t>
      </w:r>
    </w:p>
    <w:tbl>
      <w:tblPr>
        <w:tblStyle w:val="5"/>
        <w:tblW w:w="808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97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2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浙江科技</w:t>
            </w:r>
            <w:r>
              <w:rPr>
                <w:rFonts w:ascii="宋体" w:hAnsi="宋体"/>
                <w:sz w:val="24"/>
                <w:szCs w:val="24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>“一带一路”文化传播与语言服务中心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重点研究方向</w:t>
            </w:r>
          </w:p>
        </w:tc>
        <w:tc>
          <w:tcPr>
            <w:tcW w:w="62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语言工程服务、跨文化传播、翻译</w:t>
            </w:r>
            <w:r>
              <w:rPr>
                <w:rFonts w:ascii="宋体" w:hAnsi="宋体"/>
                <w:sz w:val="24"/>
                <w:szCs w:val="24"/>
              </w:rPr>
              <w:t>人才实训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机构特色</w:t>
            </w:r>
          </w:p>
        </w:tc>
        <w:tc>
          <w:tcPr>
            <w:tcW w:w="62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浙江科技学院“一带一路”文化传播与语言服务中心</w:t>
            </w:r>
            <w:r>
              <w:rPr>
                <w:rFonts w:hint="eastAsia" w:ascii="宋体" w:hAnsi="宋体" w:cs="宋体"/>
                <w:sz w:val="24"/>
                <w:szCs w:val="24"/>
              </w:rPr>
              <w:t>主动响应国家“一带一路”倡议</w:t>
            </w:r>
            <w:r>
              <w:rPr>
                <w:rFonts w:hint="eastAsia" w:ascii="宋体" w:hAnsi="宋体"/>
                <w:sz w:val="24"/>
                <w:szCs w:val="24"/>
              </w:rPr>
              <w:t>，协同校内外“</w:t>
            </w:r>
            <w:r>
              <w:rPr>
                <w:rFonts w:ascii="宋体" w:hAnsi="宋体"/>
                <w:sz w:val="24"/>
                <w:szCs w:val="24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</w:rPr>
              <w:t>大支撑”，</w:t>
            </w:r>
            <w:r>
              <w:rPr>
                <w:rFonts w:ascii="宋体" w:hAnsi="宋体"/>
                <w:sz w:val="24"/>
                <w:szCs w:val="24"/>
              </w:rPr>
              <w:t>下设语言工程服务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跨文化传播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翻译人才实训“</w:t>
            </w:r>
            <w:r>
              <w:rPr>
                <w:rFonts w:hint="eastAsia" w:ascii="宋体" w:hAnsi="宋体"/>
                <w:sz w:val="24"/>
                <w:szCs w:val="24"/>
              </w:rPr>
              <w:t>三个</w:t>
            </w:r>
            <w:r>
              <w:rPr>
                <w:rFonts w:ascii="宋体" w:hAnsi="宋体"/>
                <w:sz w:val="24"/>
                <w:szCs w:val="24"/>
              </w:rPr>
              <w:t>中心”</w:t>
            </w:r>
            <w:r>
              <w:rPr>
                <w:rFonts w:hint="eastAsia" w:ascii="宋体" w:hAnsi="宋体"/>
                <w:sz w:val="24"/>
                <w:szCs w:val="24"/>
              </w:rPr>
              <w:t>，积极服务浙江开放强省战略，促进地方经济转型发展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2" w:firstLineChars="200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一、现有基础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国际化</w:t>
            </w:r>
            <w:r>
              <w:rPr>
                <w:rFonts w:ascii="宋体" w:hAnsi="宋体" w:cs="宋体"/>
                <w:b/>
                <w:sz w:val="24"/>
                <w:szCs w:val="24"/>
              </w:rPr>
              <w:t>办学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走在</w:t>
            </w:r>
            <w:r>
              <w:rPr>
                <w:rFonts w:ascii="宋体" w:hAnsi="宋体" w:cs="宋体"/>
                <w:b/>
                <w:sz w:val="24"/>
                <w:szCs w:val="24"/>
              </w:rPr>
              <w:t>前列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</w:rPr>
              <w:t>学校自1985年与德国开展国际合作办学，先后经历了省州合作、政府合作和全面合作三个阶段，获得德国援助近1500万马克，已与德国25所高校、全球近90所高校建立紧密合作关系，中德、中美、中英、中法等境外交流合作项目累计110余项，已在欧洲合作建设两所孔子学院。每年有留学生近2000人，出国交流学生近1500人。省内高校国际化办学排名前4-5位。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2B2B2B"/>
                <w:sz w:val="24"/>
                <w:szCs w:val="24"/>
                <w:shd w:val="clear" w:color="auto" w:fill="FFFFFF"/>
              </w:rPr>
              <w:t>国际化</w:t>
            </w:r>
            <w:r>
              <w:rPr>
                <w:rFonts w:ascii="宋体" w:hAnsi="宋体" w:cs="宋体"/>
                <w:b/>
                <w:color w:val="2B2B2B"/>
                <w:sz w:val="24"/>
                <w:szCs w:val="24"/>
                <w:shd w:val="clear" w:color="auto" w:fill="FFFFFF"/>
              </w:rPr>
              <w:t>师资</w:t>
            </w:r>
            <w:r>
              <w:rPr>
                <w:rFonts w:hint="eastAsia" w:ascii="宋体" w:hAnsi="宋体" w:cs="宋体"/>
                <w:b/>
                <w:color w:val="2B2B2B"/>
                <w:sz w:val="24"/>
                <w:szCs w:val="24"/>
                <w:shd w:val="clear" w:color="auto" w:fill="FFFFFF"/>
              </w:rPr>
              <w:t>实力较强。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一方面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学校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积极引进具有海外背景的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博士50余人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来校工作。另一方面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，依托国家留学基金项目、青年骨干教师出国研修项目、“2+3”中德合作项目等各类出国资助，近三年选派教师67人赴海外名校出国进修。同时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，聘请十多名德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、美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、法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等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高校的教授为我校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客座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教授。本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中心现有外语师资近100名，近60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%教师具有国外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高校6个月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含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以上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的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学习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、工作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和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研究经历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，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国外经历教师达到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96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%。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协同校内外</w:t>
            </w:r>
            <w:r>
              <w:rPr>
                <w:rFonts w:ascii="宋体" w:hAnsi="宋体" w:cs="宋体"/>
                <w:b/>
                <w:sz w:val="24"/>
                <w:szCs w:val="24"/>
              </w:rPr>
              <w:t>国际合作平台。</w:t>
            </w:r>
            <w:r>
              <w:rPr>
                <w:rFonts w:hint="eastAsia" w:ascii="宋体" w:hAnsi="宋体" w:cs="宋体"/>
                <w:sz w:val="24"/>
                <w:szCs w:val="24"/>
              </w:rPr>
              <w:t>以浙江省中德科技促进中心为基础，全力建设中德合作企业联盟，参与企业50多家；已在农产品生化制造、国际物流研究等领域共建6个国际学科合作平台。依托罗马尼亚克</w:t>
            </w:r>
            <w:r>
              <w:rPr>
                <w:rFonts w:ascii="宋体" w:hAnsi="宋体" w:cs="宋体"/>
                <w:sz w:val="24"/>
                <w:szCs w:val="24"/>
              </w:rPr>
              <w:t>鲁日巴比什-波雅依大学</w:t>
            </w:r>
            <w:r>
              <w:rPr>
                <w:rFonts w:hint="eastAsia" w:ascii="宋体" w:hAnsi="宋体" w:cs="宋体"/>
                <w:sz w:val="24"/>
                <w:szCs w:val="24"/>
              </w:rPr>
              <w:t>孔子学院、德国</w:t>
            </w:r>
            <w:r>
              <w:rPr>
                <w:rFonts w:ascii="宋体" w:hAnsi="宋体" w:cs="宋体"/>
                <w:sz w:val="24"/>
                <w:szCs w:val="24"/>
              </w:rPr>
              <w:t>埃尔福特应用科技大学孔子</w:t>
            </w:r>
            <w:r>
              <w:rPr>
                <w:rFonts w:hint="eastAsia" w:ascii="宋体" w:hAnsi="宋体" w:cs="宋体"/>
                <w:sz w:val="24"/>
                <w:szCs w:val="24"/>
              </w:rPr>
              <w:t>学院等机构和合作院校</w:t>
            </w:r>
            <w:r>
              <w:rPr>
                <w:rFonts w:ascii="宋体" w:hAnsi="宋体" w:cs="宋体"/>
                <w:sz w:val="24"/>
                <w:szCs w:val="24"/>
              </w:rPr>
              <w:t>，主动参与</w:t>
            </w:r>
            <w:r>
              <w:rPr>
                <w:rFonts w:hint="eastAsia" w:ascii="宋体" w:hAnsi="宋体" w:cs="宋体"/>
                <w:sz w:val="24"/>
                <w:szCs w:val="24"/>
              </w:rPr>
              <w:t>浙江</w:t>
            </w:r>
            <w:r>
              <w:rPr>
                <w:rFonts w:ascii="宋体" w:hAnsi="宋体" w:cs="宋体"/>
                <w:sz w:val="24"/>
                <w:szCs w:val="24"/>
              </w:rPr>
              <w:t>企业海外</w:t>
            </w:r>
            <w:r>
              <w:rPr>
                <w:rFonts w:hint="eastAsia" w:ascii="宋体" w:hAnsi="宋体" w:cs="宋体"/>
                <w:sz w:val="24"/>
                <w:szCs w:val="24"/>
              </w:rPr>
              <w:t>商贸</w:t>
            </w:r>
            <w:r>
              <w:rPr>
                <w:rFonts w:ascii="宋体" w:hAnsi="宋体" w:cs="宋体"/>
                <w:sz w:val="24"/>
                <w:szCs w:val="24"/>
              </w:rPr>
              <w:t>会展等活动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积极开展经济交流和文化</w:t>
            </w:r>
            <w:r>
              <w:rPr>
                <w:rFonts w:hint="eastAsia" w:ascii="宋体" w:hAnsi="宋体" w:cs="宋体"/>
                <w:sz w:val="24"/>
                <w:szCs w:val="24"/>
              </w:rPr>
              <w:t>传播等专题研究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2" w:firstLineChars="200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二、工作重点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2B2B2B"/>
                <w:sz w:val="24"/>
                <w:szCs w:val="24"/>
                <w:shd w:val="clear" w:color="auto" w:fill="FFFFFF"/>
              </w:rPr>
              <w:t>语言工程服务中心。</w:t>
            </w:r>
            <w:r>
              <w:rPr>
                <w:rFonts w:hint="eastAsia" w:ascii="宋体" w:hAnsi="宋体" w:cs="宋体"/>
                <w:color w:val="2B2B2B"/>
                <w:sz w:val="24"/>
                <w:szCs w:val="24"/>
                <w:shd w:val="clear" w:color="auto" w:fill="FFFFFF"/>
              </w:rPr>
              <w:t>充分发挥每年近2000名在校留学生和近1500名出国学习学生的桥梁纽带作用，利用现有语言资源库和大数据中心，研究“一带一路”沿线国家和地区的经贸信息、人文历史等，从历史文化保护、商务人才培养、产业发展需求等方面切入，为政府部门、各行各业提供数据信息、语言服务和人才保障等。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2B2B2B"/>
                <w:sz w:val="24"/>
                <w:szCs w:val="24"/>
                <w:shd w:val="clear" w:color="auto" w:fill="FFFFFF"/>
              </w:rPr>
              <w:t>跨文化传播研究中心。</w:t>
            </w:r>
            <w:r>
              <w:rPr>
                <w:rFonts w:hint="eastAsia" w:ascii="宋体" w:hAnsi="宋体" w:cs="宋体"/>
                <w:color w:val="2B2B2B"/>
                <w:sz w:val="24"/>
                <w:szCs w:val="24"/>
                <w:shd w:val="clear" w:color="auto" w:fill="FFFFFF"/>
              </w:rPr>
              <w:t>针对“一带一路”沿线国家和地区，集中百名外语教师人才，面向政府商务活动、企业人才招聘、外事交流活动等专题项目，从商务会展影响及效果、外事活动信息传播效度等方面切入，开展经济信息和文化传播研究，为政府部门提供决策报告和信息服务。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2B2B2B"/>
                <w:sz w:val="24"/>
                <w:szCs w:val="24"/>
                <w:shd w:val="clear" w:color="auto" w:fill="FFFFFF"/>
              </w:rPr>
              <w:t>翻译人才实训中心。</w:t>
            </w:r>
            <w:r>
              <w:rPr>
                <w:rFonts w:hint="eastAsia" w:ascii="宋体" w:hAnsi="宋体" w:cs="宋体"/>
                <w:color w:val="2B2B2B"/>
                <w:sz w:val="24"/>
                <w:szCs w:val="24"/>
                <w:shd w:val="clear" w:color="auto" w:fill="FFFFFF"/>
              </w:rPr>
              <w:t>充分发挥学校现有德语、法语、英语等师资优势，通过建立数字化、标准化外语学习培训和测试中心，开设商务口译、同声传译等专业实验课程及开放性实验课程，提高专业学生语言应用能力，广泛开展公共外语等级考试和出国进修、留学培训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近期相关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研究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获奖情况、批示情况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关于十九大前我省热点舆情分析报告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葛慧君批示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进一步优化省属本科高校财政投入的若干意见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袁家军、成岳冲批示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供给/需求双侧结构性改革推进浙江医改深入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领导</w:t>
            </w:r>
            <w:r>
              <w:rPr>
                <w:rFonts w:ascii="宋体" w:hAnsi="宋体"/>
                <w:sz w:val="24"/>
                <w:szCs w:val="24"/>
              </w:rPr>
              <w:t>批示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color w:val="040404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40404"/>
                <w:sz w:val="24"/>
                <w:szCs w:val="24"/>
              </w:rPr>
              <w:t>“</w:t>
            </w:r>
            <w:r>
              <w:rPr>
                <w:rFonts w:hint="eastAsia" w:cs="Arial" w:asciiTheme="minorEastAsia" w:hAnsiTheme="minorEastAsia" w:eastAsiaTheme="minorEastAsia"/>
                <w:color w:val="040404"/>
                <w:sz w:val="24"/>
                <w:szCs w:val="24"/>
              </w:rPr>
              <w:t>一带一路</w:t>
            </w:r>
            <w:r>
              <w:rPr>
                <w:rFonts w:cs="Arial" w:asciiTheme="minorEastAsia" w:hAnsiTheme="minorEastAsia" w:eastAsiaTheme="minorEastAsia"/>
                <w:color w:val="040404"/>
                <w:sz w:val="24"/>
                <w:szCs w:val="24"/>
              </w:rPr>
              <w:t>”</w:t>
            </w:r>
            <w:r>
              <w:rPr>
                <w:rFonts w:hint="eastAsia" w:cs="Arial" w:asciiTheme="minorEastAsia" w:hAnsiTheme="minorEastAsia" w:eastAsiaTheme="minorEastAsia"/>
                <w:color w:val="040404"/>
                <w:sz w:val="24"/>
                <w:szCs w:val="24"/>
              </w:rPr>
              <w:t>国家人文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40404"/>
                <w:sz w:val="24"/>
                <w:szCs w:val="24"/>
              </w:rPr>
              <w:t>社科普及性丛书：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《中东欧的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桥头堡——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罗马尼亚》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主要研究力量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研究人员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朱吉梅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  文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震华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胡余波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陈亚轩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学德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雪芬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卫平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一帆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  方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广平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翠君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茂盛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江霞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永辉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王耀青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炜珂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restart"/>
          </w:tcPr>
          <w:p>
            <w:pPr>
              <w:spacing w:beforeLines="3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机构联系方式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朱吉梅1385714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炜珂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13516874029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0571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-85070666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33564902@qq.com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推荐单位</w:t>
            </w:r>
          </w:p>
        </w:tc>
        <w:tc>
          <w:tcPr>
            <w:tcW w:w="62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浙江科技学院</w:t>
            </w:r>
          </w:p>
        </w:tc>
      </w:tr>
    </w:tbl>
    <w:p>
      <w:pPr>
        <w:rPr>
          <w:sz w:val="24"/>
          <w:u w:val="single"/>
        </w:rPr>
      </w:pPr>
    </w:p>
    <w:p>
      <w:pPr>
        <w:adjustRightInd w:val="0"/>
        <w:snapToGrid w:val="0"/>
        <w:rPr>
          <w:sz w:val="24"/>
          <w:u w:val="single"/>
        </w:rPr>
      </w:pPr>
    </w:p>
    <w:p>
      <w:pPr>
        <w:adjustRightInd w:val="0"/>
        <w:snapToGrid w:val="0"/>
        <w:rPr>
          <w:rFonts w:ascii="黑体" w:hAnsi="黑体" w:eastAsia="黑体"/>
        </w:rPr>
      </w:pPr>
      <w:r>
        <w:rPr>
          <w:rFonts w:hint="eastAsia" w:ascii="黑体" w:hAnsi="黑体" w:eastAsia="黑体"/>
          <w:sz w:val="24"/>
          <w:u w:val="single"/>
        </w:rPr>
        <w:t>浙江省发展和改革委员会办公室2018年5月4日印发</w:t>
      </w:r>
      <w:r>
        <w:rPr>
          <w:rFonts w:hint="eastAsia" w:ascii="黑体" w:hAnsi="黑体" w:eastAsia="黑体"/>
        </w:rPr>
        <w:t>4—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29555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01D"/>
    <w:rsid w:val="00002B6F"/>
    <w:rsid w:val="000271A6"/>
    <w:rsid w:val="0003167A"/>
    <w:rsid w:val="000412CB"/>
    <w:rsid w:val="0005614B"/>
    <w:rsid w:val="000703B8"/>
    <w:rsid w:val="00095383"/>
    <w:rsid w:val="000A1D0A"/>
    <w:rsid w:val="000B1507"/>
    <w:rsid w:val="000B6D8A"/>
    <w:rsid w:val="000E568A"/>
    <w:rsid w:val="00192A53"/>
    <w:rsid w:val="001B4187"/>
    <w:rsid w:val="00205952"/>
    <w:rsid w:val="00224EC4"/>
    <w:rsid w:val="0027116E"/>
    <w:rsid w:val="00277C73"/>
    <w:rsid w:val="00282767"/>
    <w:rsid w:val="002866D6"/>
    <w:rsid w:val="002C6C68"/>
    <w:rsid w:val="0030511F"/>
    <w:rsid w:val="00317865"/>
    <w:rsid w:val="00322742"/>
    <w:rsid w:val="00363B9B"/>
    <w:rsid w:val="003900DF"/>
    <w:rsid w:val="0039202B"/>
    <w:rsid w:val="00392BEB"/>
    <w:rsid w:val="003E628F"/>
    <w:rsid w:val="00426061"/>
    <w:rsid w:val="00434A95"/>
    <w:rsid w:val="00472DDE"/>
    <w:rsid w:val="004F29E6"/>
    <w:rsid w:val="005373FB"/>
    <w:rsid w:val="00542C1D"/>
    <w:rsid w:val="005A3268"/>
    <w:rsid w:val="005C4C41"/>
    <w:rsid w:val="005E6604"/>
    <w:rsid w:val="005E6D9F"/>
    <w:rsid w:val="005F3956"/>
    <w:rsid w:val="00614B97"/>
    <w:rsid w:val="006256AF"/>
    <w:rsid w:val="006452FF"/>
    <w:rsid w:val="00680B9F"/>
    <w:rsid w:val="00682F13"/>
    <w:rsid w:val="00690373"/>
    <w:rsid w:val="006A44CE"/>
    <w:rsid w:val="006B781B"/>
    <w:rsid w:val="006C2162"/>
    <w:rsid w:val="006E6930"/>
    <w:rsid w:val="00707057"/>
    <w:rsid w:val="007917A0"/>
    <w:rsid w:val="007D50BA"/>
    <w:rsid w:val="007F1C83"/>
    <w:rsid w:val="00810293"/>
    <w:rsid w:val="00821053"/>
    <w:rsid w:val="008431AC"/>
    <w:rsid w:val="00850D06"/>
    <w:rsid w:val="00851132"/>
    <w:rsid w:val="00877111"/>
    <w:rsid w:val="00893902"/>
    <w:rsid w:val="008C1695"/>
    <w:rsid w:val="008D281B"/>
    <w:rsid w:val="00902AFE"/>
    <w:rsid w:val="00906D11"/>
    <w:rsid w:val="009155DF"/>
    <w:rsid w:val="00923E65"/>
    <w:rsid w:val="009328D4"/>
    <w:rsid w:val="00957130"/>
    <w:rsid w:val="00997556"/>
    <w:rsid w:val="009A0AAD"/>
    <w:rsid w:val="009D474F"/>
    <w:rsid w:val="00A51487"/>
    <w:rsid w:val="00A87B0E"/>
    <w:rsid w:val="00A943DC"/>
    <w:rsid w:val="00AA6FBA"/>
    <w:rsid w:val="00AB53C7"/>
    <w:rsid w:val="00AC1302"/>
    <w:rsid w:val="00AD662E"/>
    <w:rsid w:val="00AE074C"/>
    <w:rsid w:val="00B14994"/>
    <w:rsid w:val="00B24459"/>
    <w:rsid w:val="00B41A9D"/>
    <w:rsid w:val="00B829A2"/>
    <w:rsid w:val="00B93A49"/>
    <w:rsid w:val="00BE7EB4"/>
    <w:rsid w:val="00BF2F6D"/>
    <w:rsid w:val="00BF560A"/>
    <w:rsid w:val="00C04927"/>
    <w:rsid w:val="00C23833"/>
    <w:rsid w:val="00C5490C"/>
    <w:rsid w:val="00CB1D26"/>
    <w:rsid w:val="00CB6CD5"/>
    <w:rsid w:val="00D05640"/>
    <w:rsid w:val="00D44C74"/>
    <w:rsid w:val="00D618C6"/>
    <w:rsid w:val="00D72328"/>
    <w:rsid w:val="00D74844"/>
    <w:rsid w:val="00D8101D"/>
    <w:rsid w:val="00D9519D"/>
    <w:rsid w:val="00DC26DD"/>
    <w:rsid w:val="00DD74A9"/>
    <w:rsid w:val="00E153AC"/>
    <w:rsid w:val="00E3397A"/>
    <w:rsid w:val="00E47A2A"/>
    <w:rsid w:val="00E7297E"/>
    <w:rsid w:val="00E868A2"/>
    <w:rsid w:val="00E97F07"/>
    <w:rsid w:val="00EB61A8"/>
    <w:rsid w:val="00ED2999"/>
    <w:rsid w:val="00EE2C38"/>
    <w:rsid w:val="00EF5FC7"/>
    <w:rsid w:val="00EF61C4"/>
    <w:rsid w:val="00EF66CC"/>
    <w:rsid w:val="00F23C2A"/>
    <w:rsid w:val="00F5281C"/>
    <w:rsid w:val="00F70657"/>
    <w:rsid w:val="00F94283"/>
    <w:rsid w:val="00F94452"/>
    <w:rsid w:val="00FE0964"/>
    <w:rsid w:val="00FF637B"/>
    <w:rsid w:val="59305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241</Words>
  <Characters>1380</Characters>
  <Lines>11</Lines>
  <Paragraphs>3</Paragraphs>
  <TotalTime>24</TotalTime>
  <ScaleCrop>false</ScaleCrop>
  <LinksUpToDate>false</LinksUpToDate>
  <CharactersWithSpaces>1618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2018-05-13T07:03:00Z</dcterms:created>
  <dc:creator>丁 文</dc:creator>
  <cp:lastModifiedBy>Administrator</cp:lastModifiedBy>
  <cp:lastPrinted>2018-05-14T00:58:42Z</cp:lastPrinted>
  <dcterms:modified xsi:type="dcterms:W3CDTF">2018-05-14T01:22:25Z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