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hAnsi="Calibri" w:eastAsia="仿宋_GB2312" w:cs="黑体"/>
          <w:b/>
          <w:color w:val="000000" w:themeColor="text1"/>
          <w:sz w:val="32"/>
          <w:szCs w:val="32"/>
        </w:rPr>
      </w:pPr>
    </w:p>
    <w:p>
      <w:pPr>
        <w:spacing w:line="360" w:lineRule="auto"/>
        <w:rPr>
          <w:rFonts w:ascii="仿宋_GB2312" w:hAnsi="Calibri" w:eastAsia="仿宋_GB2312" w:cs="黑体"/>
          <w:b/>
          <w:color w:val="000000" w:themeColor="text1"/>
          <w:sz w:val="32"/>
          <w:szCs w:val="32"/>
        </w:rPr>
      </w:pPr>
    </w:p>
    <w:p>
      <w:pPr>
        <w:spacing w:line="360" w:lineRule="auto"/>
        <w:jc w:val="center"/>
        <w:rPr>
          <w:rFonts w:ascii="华文中宋" w:hAnsi="华文中宋" w:eastAsia="华文中宋" w:cs="黑体"/>
          <w:b/>
          <w:color w:val="000000" w:themeColor="text1"/>
          <w:w w:val="99"/>
          <w:sz w:val="36"/>
          <w:szCs w:val="32"/>
        </w:rPr>
      </w:pPr>
      <w:r>
        <w:rPr>
          <w:rFonts w:hint="eastAsia" w:ascii="华文中宋" w:hAnsi="华文中宋" w:eastAsia="华文中宋" w:cs="黑体"/>
          <w:b/>
          <w:color w:val="000000" w:themeColor="text1"/>
          <w:w w:val="99"/>
          <w:sz w:val="36"/>
          <w:szCs w:val="32"/>
        </w:rPr>
        <w:t>汉语国际教育硕士专业学位授权点</w:t>
      </w:r>
    </w:p>
    <w:p>
      <w:pPr>
        <w:spacing w:line="360" w:lineRule="auto"/>
        <w:jc w:val="center"/>
        <w:rPr>
          <w:rFonts w:ascii="华文中宋" w:hAnsi="华文中宋" w:eastAsia="华文中宋" w:cs="黑体"/>
          <w:b/>
          <w:color w:val="000000" w:themeColor="text1"/>
          <w:sz w:val="36"/>
          <w:szCs w:val="32"/>
        </w:rPr>
      </w:pPr>
      <w:r>
        <w:rPr>
          <w:rFonts w:hint="eastAsia" w:ascii="华文中宋" w:hAnsi="华文中宋" w:eastAsia="华文中宋" w:cs="黑体"/>
          <w:b/>
          <w:color w:val="000000" w:themeColor="text1"/>
          <w:sz w:val="36"/>
          <w:szCs w:val="32"/>
        </w:rPr>
        <w:t>专项评估自评报告</w:t>
      </w:r>
    </w:p>
    <w:p>
      <w:pPr>
        <w:spacing w:line="360" w:lineRule="auto"/>
        <w:jc w:val="center"/>
        <w:rPr>
          <w:rFonts w:ascii="仿宋_GB2312" w:hAnsi="Calibri" w:eastAsia="仿宋_GB2312" w:cs="黑体"/>
          <w:b/>
          <w:color w:val="000000" w:themeColor="text1"/>
          <w:sz w:val="32"/>
          <w:szCs w:val="32"/>
        </w:rPr>
      </w:pPr>
    </w:p>
    <w:p>
      <w:pPr>
        <w:spacing w:line="360" w:lineRule="auto"/>
        <w:jc w:val="center"/>
        <w:rPr>
          <w:rFonts w:ascii="仿宋_GB2312" w:hAnsi="Calibri" w:eastAsia="仿宋_GB2312" w:cs="黑体"/>
          <w:b/>
          <w:color w:val="000000" w:themeColor="text1"/>
          <w:sz w:val="32"/>
          <w:szCs w:val="32"/>
        </w:rPr>
      </w:pPr>
    </w:p>
    <w:p>
      <w:pPr>
        <w:spacing w:line="360" w:lineRule="auto"/>
        <w:jc w:val="center"/>
        <w:rPr>
          <w:rFonts w:ascii="仿宋_GB2312" w:hAnsi="Calibri" w:eastAsia="仿宋_GB2312" w:cs="黑体"/>
          <w:b/>
          <w:color w:val="000000" w:themeColor="text1"/>
          <w:sz w:val="32"/>
          <w:szCs w:val="32"/>
        </w:rPr>
      </w:pPr>
    </w:p>
    <w:p>
      <w:pPr>
        <w:spacing w:line="360" w:lineRule="auto"/>
        <w:jc w:val="center"/>
        <w:rPr>
          <w:rFonts w:ascii="仿宋_GB2312" w:hAnsi="Calibri" w:eastAsia="仿宋_GB2312" w:cs="黑体"/>
          <w:b/>
          <w:color w:val="000000" w:themeColor="text1"/>
          <w:sz w:val="32"/>
          <w:szCs w:val="32"/>
        </w:rPr>
      </w:pPr>
    </w:p>
    <w:p>
      <w:pPr>
        <w:spacing w:line="480" w:lineRule="auto"/>
        <w:ind w:firstLine="1920" w:firstLineChars="600"/>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培养单位：浙江科技学院</w:t>
      </w:r>
    </w:p>
    <w:p>
      <w:pPr>
        <w:spacing w:line="480" w:lineRule="auto"/>
        <w:ind w:firstLine="1920" w:firstLineChars="600"/>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通讯地址：浙江省杭州市西湖区留和路318号</w:t>
      </w:r>
    </w:p>
    <w:p>
      <w:pPr>
        <w:spacing w:line="480" w:lineRule="auto"/>
        <w:ind w:firstLine="1920" w:firstLineChars="600"/>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电    话：0571-85070280，85070638</w:t>
      </w:r>
    </w:p>
    <w:p>
      <w:pPr>
        <w:spacing w:line="480" w:lineRule="auto"/>
        <w:ind w:firstLine="1920" w:firstLineChars="600"/>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传    真：0571-85070296，85070630</w:t>
      </w:r>
    </w:p>
    <w:p>
      <w:pPr>
        <w:spacing w:line="360" w:lineRule="auto"/>
        <w:ind w:left="1680" w:firstLine="420"/>
        <w:rPr>
          <w:rFonts w:ascii="仿宋_GB2312" w:hAnsi="Calibri" w:eastAsia="仿宋_GB2312" w:cs="黑体"/>
          <w:color w:val="000000" w:themeColor="text1"/>
          <w:sz w:val="32"/>
          <w:szCs w:val="32"/>
        </w:rPr>
      </w:pPr>
    </w:p>
    <w:p>
      <w:pPr>
        <w:spacing w:line="360" w:lineRule="auto"/>
        <w:ind w:left="1680" w:firstLine="420"/>
        <w:rPr>
          <w:rFonts w:ascii="仿宋_GB2312" w:hAnsi="Calibri" w:eastAsia="仿宋_GB2312" w:cs="黑体"/>
          <w:color w:val="000000" w:themeColor="text1"/>
          <w:sz w:val="32"/>
          <w:szCs w:val="32"/>
        </w:rPr>
      </w:pPr>
    </w:p>
    <w:p>
      <w:pPr>
        <w:spacing w:line="360" w:lineRule="auto"/>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汉语国际教育专业学位研究生</w:t>
      </w:r>
    </w:p>
    <w:p>
      <w:pPr>
        <w:spacing w:line="360" w:lineRule="auto"/>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教育指导委员会秘书处制</w:t>
      </w:r>
    </w:p>
    <w:p>
      <w:pPr>
        <w:spacing w:line="360" w:lineRule="auto"/>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2018年 5 月28日填</w:t>
      </w:r>
    </w:p>
    <w:p>
      <w:pPr>
        <w:widowControl/>
        <w:jc w:val="left"/>
        <w:rPr>
          <w:rFonts w:ascii="仿宋_GB2312" w:hAnsi="Calibri" w:eastAsia="仿宋_GB2312" w:cs="黑体"/>
          <w:color w:val="000000" w:themeColor="text1"/>
          <w:sz w:val="32"/>
          <w:szCs w:val="32"/>
        </w:rPr>
      </w:pPr>
      <w:r>
        <w:rPr>
          <w:rFonts w:ascii="仿宋_GB2312" w:hAnsi="Calibri" w:eastAsia="仿宋_GB2312" w:cs="黑体"/>
          <w:color w:val="000000" w:themeColor="text1"/>
          <w:sz w:val="32"/>
          <w:szCs w:val="32"/>
        </w:rPr>
        <w:br w:type="page"/>
      </w:r>
    </w:p>
    <w:p>
      <w:pPr>
        <w:spacing w:line="360" w:lineRule="auto"/>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一、办学情况介绍</w:t>
      </w:r>
    </w:p>
    <w:tbl>
      <w:tblPr>
        <w:tblStyle w:val="3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8295" w:type="dxa"/>
          </w:tcPr>
          <w:p>
            <w:pPr>
              <w:spacing w:beforeLines="50" w:line="360" w:lineRule="auto"/>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办学基本情况</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浙江科技学院成立于1980年，历经近40年的发展，学校形成了一所具有硕士、学士学位授予权和来华留学生、港澳台学生招生权的特色鲜明的应用型省属本科高校。</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校坚持走应用型和国际化办学之路，是教育部确定的中德合作培养高等应用型人才试点院校和教育部首批实施“卓越工程师教育培养计划”高校；与德国、澳大利亚、法国、美国、英国、日本、比利时、罗马尼亚等国（境）外的90余所高校建立了交流与合作关系，各类国际合作交流项目120余项，形成了鲜明的国际化办学特色。</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特别值得一提的是中德合作方面，历史悠久，成果丰硕。自1985年始，学校与德国建立了长期良好的合作关系，2005年成立中德学院，2014年与德国吕贝克应用科技大学、西海岸应用科技大学合作举办了浙江省首个本科层次非独立设置的中外合作办学机构——中德工程师学院。学校是“中德论坛”基地建设单位，已成为浙江省乃至全国对德交流合作的重要窗口。德国总理默克尔在G20杭州峰会期间对学校中德合作取得的成果表示赞赏，德国前总统赫尔佐克、伍尔夫曾亲访学校。</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学校先后在罗马尼亚、德国合作建立2所海外孔子学院，其中罗马尼亚的克鲁日巴比什-波雅依大学孔子学院获评全球“先进孔子学院”。</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校国际化总体水平位居浙江省硕博授权高校前列，入选“浙江省国际化特色高校”首批建设单位，是教育部首批来华留学质量试点认证高校、国家留学基金委优秀本科生国际交流奖学金项目资助院校、国家留学基金委青年骨干教师出国研修项目资助院校和中国政府来华留学奖学金生招收院校。</w:t>
            </w:r>
          </w:p>
          <w:p>
            <w:pPr>
              <w:spacing w:line="360" w:lineRule="auto"/>
              <w:ind w:firstLine="602" w:firstLineChars="250"/>
              <w:rPr>
                <w:rFonts w:ascii="Times New Roman" w:hAnsi="宋体"/>
                <w:b/>
                <w:color w:val="000000" w:themeColor="text1"/>
                <w:sz w:val="24"/>
              </w:rPr>
            </w:pPr>
            <w:r>
              <w:rPr>
                <w:rFonts w:hint="eastAsia" w:ascii="Times New Roman" w:hAnsi="宋体"/>
                <w:b/>
                <w:color w:val="000000" w:themeColor="text1"/>
                <w:sz w:val="24"/>
              </w:rPr>
              <w:t>一、办学简史</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校顺应全球“汉语热”的时代潮流，响应国家大力发展汉语国际推广事业的号召，凭借鲜明的“国际化”和“应用型”两大特色，积极筹办汉语国际教育学位点，努力为国家的汉语国际推广事业添砖加瓦。经国务院学位委员会批准，2014年9月，学校成为全日制汉语国际教育专业硕士招生单位。2015年9月，学校开始招收汉语国际教育硕士专业学位国内研究生和来华留学研究生。3</w:t>
            </w:r>
            <w:r>
              <w:rPr>
                <w:color w:val="000000" w:themeColor="text1"/>
                <w:sz w:val="24"/>
                <w:szCs w:val="24"/>
              </w:rPr>
              <w:t>年来，</w:t>
            </w:r>
            <w:r>
              <w:rPr>
                <w:rFonts w:hint="eastAsia"/>
                <w:color w:val="000000" w:themeColor="text1"/>
                <w:sz w:val="24"/>
                <w:szCs w:val="24"/>
              </w:rPr>
              <w:t>学校</w:t>
            </w:r>
            <w:r>
              <w:rPr>
                <w:color w:val="000000" w:themeColor="text1"/>
                <w:sz w:val="24"/>
                <w:szCs w:val="24"/>
              </w:rPr>
              <w:t>高度重视并大力发展汉语国际教育</w:t>
            </w:r>
            <w:r>
              <w:rPr>
                <w:rFonts w:hint="eastAsia"/>
                <w:color w:val="000000" w:themeColor="text1"/>
                <w:sz w:val="24"/>
                <w:szCs w:val="24"/>
              </w:rPr>
              <w:t>学位点</w:t>
            </w:r>
            <w:r>
              <w:rPr>
                <w:color w:val="000000" w:themeColor="text1"/>
                <w:sz w:val="24"/>
                <w:szCs w:val="24"/>
              </w:rPr>
              <w:t>，在管理制度建设、培养模式改革、师资队伍建设及专业特色凝练等方面做出了积极的探索，为多个国家的孔子学院</w:t>
            </w:r>
            <w:r>
              <w:rPr>
                <w:rFonts w:hint="eastAsia"/>
                <w:color w:val="000000" w:themeColor="text1"/>
                <w:sz w:val="24"/>
                <w:szCs w:val="24"/>
              </w:rPr>
              <w:t>、中小学</w:t>
            </w:r>
            <w:r>
              <w:rPr>
                <w:color w:val="000000" w:themeColor="text1"/>
                <w:sz w:val="24"/>
                <w:szCs w:val="24"/>
              </w:rPr>
              <w:t>及国内</w:t>
            </w:r>
            <w:r>
              <w:rPr>
                <w:rFonts w:hint="eastAsia"/>
                <w:color w:val="000000" w:themeColor="text1"/>
                <w:sz w:val="24"/>
                <w:szCs w:val="24"/>
              </w:rPr>
              <w:t>中小学和</w:t>
            </w:r>
            <w:r>
              <w:rPr>
                <w:color w:val="000000" w:themeColor="text1"/>
                <w:sz w:val="24"/>
                <w:szCs w:val="24"/>
              </w:rPr>
              <w:t>对外文化交流机构</w:t>
            </w:r>
            <w:r>
              <w:rPr>
                <w:rFonts w:hint="eastAsia"/>
                <w:color w:val="000000" w:themeColor="text1"/>
                <w:sz w:val="24"/>
                <w:szCs w:val="24"/>
              </w:rPr>
              <w:t>输送</w:t>
            </w:r>
            <w:r>
              <w:rPr>
                <w:color w:val="000000" w:themeColor="text1"/>
                <w:sz w:val="24"/>
                <w:szCs w:val="24"/>
              </w:rPr>
              <w:t>了一批水平层次高、应用能力强、职业道德好的汉语国际教育专门人才，赢得了良好的社会</w:t>
            </w:r>
            <w:r>
              <w:rPr>
                <w:rFonts w:ascii="华文仿宋" w:hAnsi="华文仿宋" w:cs="华文仿宋"/>
                <w:color w:val="000000" w:themeColor="text1"/>
                <w:sz w:val="24"/>
              </w:rPr>
              <w:t>声誉。</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二、师资队伍</w:t>
            </w:r>
          </w:p>
          <w:p>
            <w:pPr>
              <w:spacing w:line="360" w:lineRule="auto"/>
              <w:ind w:firstLine="480" w:firstLineChars="200"/>
              <w:rPr>
                <w:color w:val="FF0000"/>
                <w:sz w:val="24"/>
                <w:szCs w:val="24"/>
              </w:rPr>
            </w:pPr>
            <w:r>
              <w:rPr>
                <w:rFonts w:hint="eastAsia"/>
                <w:color w:val="FF0000"/>
                <w:sz w:val="24"/>
                <w:szCs w:val="24"/>
              </w:rPr>
              <w:t>本学位点</w:t>
            </w:r>
            <w:r>
              <w:rPr>
                <w:color w:val="FF0000"/>
                <w:sz w:val="24"/>
                <w:szCs w:val="24"/>
              </w:rPr>
              <w:t>拥有</w:t>
            </w:r>
            <w:r>
              <w:rPr>
                <w:rFonts w:hint="eastAsia"/>
                <w:color w:val="FF0000"/>
                <w:sz w:val="24"/>
                <w:szCs w:val="24"/>
              </w:rPr>
              <w:t>专任教师40名</w:t>
            </w:r>
            <w:r>
              <w:rPr>
                <w:color w:val="FF0000"/>
                <w:sz w:val="24"/>
                <w:szCs w:val="24"/>
              </w:rPr>
              <w:t>，主要课程任课教师 </w:t>
            </w:r>
            <w:r>
              <w:rPr>
                <w:rFonts w:hint="eastAsia"/>
                <w:color w:val="FF0000"/>
                <w:sz w:val="24"/>
                <w:szCs w:val="24"/>
              </w:rPr>
              <w:t>18</w:t>
            </w:r>
            <w:r>
              <w:rPr>
                <w:color w:val="FF0000"/>
                <w:sz w:val="24"/>
                <w:szCs w:val="24"/>
              </w:rPr>
              <w:t>名。其中，教授</w:t>
            </w:r>
            <w:r>
              <w:rPr>
                <w:rFonts w:hint="eastAsia"/>
                <w:color w:val="FF0000"/>
                <w:sz w:val="24"/>
                <w:szCs w:val="24"/>
              </w:rPr>
              <w:t>（正高）15</w:t>
            </w:r>
            <w:r>
              <w:rPr>
                <w:color w:val="FF0000"/>
                <w:sz w:val="24"/>
                <w:szCs w:val="24"/>
              </w:rPr>
              <w:t>名，副教授 </w:t>
            </w:r>
            <w:r>
              <w:rPr>
                <w:rFonts w:hint="eastAsia"/>
                <w:color w:val="FF0000"/>
                <w:sz w:val="24"/>
                <w:szCs w:val="24"/>
              </w:rPr>
              <w:t>（副高）16</w:t>
            </w:r>
            <w:r>
              <w:rPr>
                <w:color w:val="FF0000"/>
                <w:sz w:val="24"/>
                <w:szCs w:val="24"/>
              </w:rPr>
              <w:t> 名，</w:t>
            </w:r>
            <w:r>
              <w:rPr>
                <w:rFonts w:hint="eastAsia"/>
                <w:color w:val="FF0000"/>
                <w:sz w:val="24"/>
                <w:szCs w:val="24"/>
              </w:rPr>
              <w:t>有博士学位者20名。</w:t>
            </w:r>
            <w:r>
              <w:rPr>
                <w:color w:val="FF0000"/>
                <w:sz w:val="24"/>
                <w:szCs w:val="24"/>
              </w:rPr>
              <w:t>师资队伍结构合理，科研实力强劲，对外汉语教学经验丰富，学科基础雄厚。</w:t>
            </w:r>
          </w:p>
          <w:p>
            <w:pPr>
              <w:spacing w:line="360" w:lineRule="auto"/>
              <w:ind w:firstLine="480" w:firstLineChars="200"/>
              <w:rPr>
                <w:color w:val="FF0000"/>
                <w:sz w:val="24"/>
                <w:szCs w:val="24"/>
              </w:rPr>
            </w:pPr>
            <w:r>
              <w:rPr>
                <w:rFonts w:hint="eastAsia"/>
                <w:color w:val="FF0000"/>
                <w:sz w:val="24"/>
                <w:szCs w:val="24"/>
              </w:rPr>
              <w:t>汉语国际教育与语言学、教育学、心理学、哲学、社会学等学科的发展有着密切的关系。对外汉语教师必须具备深厚的语言学尤其是汉语语言学知识、中国文化知识、教育学、心理学和哲学等方面的知识，唯有如此，才能在教学中详尽而透彻地传授汉语的语音、词汇和语法等方面的知识，并阐释语言背后深厚的文化意蕴，并在教学中言传身教，潜移默化地影响学生，让学生不管从事在海外从事汉语国际教育还是在国内从事对外汉语教学，都不但能胜任汉语教学，而且能较好地实现跨文化交际。</w:t>
            </w:r>
          </w:p>
          <w:p>
            <w:pPr>
              <w:spacing w:line="360" w:lineRule="auto"/>
              <w:ind w:firstLine="480" w:firstLineChars="200"/>
              <w:rPr>
                <w:color w:val="FF0000"/>
                <w:sz w:val="24"/>
                <w:szCs w:val="24"/>
              </w:rPr>
            </w:pPr>
            <w:r>
              <w:rPr>
                <w:rFonts w:hint="eastAsia"/>
                <w:color w:val="FF0000"/>
                <w:sz w:val="24"/>
                <w:szCs w:val="24"/>
              </w:rPr>
              <w:t>因为汉语国际教育硕士要实现到海外进行汉语国际教育或汉语国际推广，或者在国内从事对外汉语教学，所以教师的海外教学经验非常重要。</w:t>
            </w:r>
          </w:p>
          <w:p>
            <w:pPr>
              <w:spacing w:line="360" w:lineRule="auto"/>
              <w:ind w:firstLine="480" w:firstLineChars="200"/>
              <w:rPr>
                <w:color w:val="FF0000"/>
                <w:sz w:val="24"/>
                <w:szCs w:val="24"/>
              </w:rPr>
            </w:pPr>
            <w:r>
              <w:rPr>
                <w:rFonts w:hint="eastAsia"/>
                <w:color w:val="FF0000"/>
                <w:sz w:val="24"/>
                <w:szCs w:val="24"/>
              </w:rPr>
              <w:t>为促进汉语国际教育事业的健康持续发展，我校在师资建设方面特别重视师资队伍的多样化和国际化。</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（一）师资队伍的多样化</w:t>
            </w:r>
          </w:p>
          <w:p>
            <w:pPr>
              <w:spacing w:line="360" w:lineRule="auto"/>
              <w:ind w:firstLine="602" w:firstLineChars="250"/>
              <w:rPr>
                <w:rFonts w:ascii="Times New Roman" w:hAnsi="宋体"/>
                <w:b/>
                <w:color w:val="000000" w:themeColor="text1"/>
                <w:sz w:val="24"/>
              </w:rPr>
            </w:pPr>
            <w:r>
              <w:rPr>
                <w:rFonts w:hint="eastAsia" w:ascii="Times New Roman" w:hAnsi="宋体"/>
                <w:b/>
                <w:color w:val="000000" w:themeColor="text1"/>
                <w:sz w:val="24"/>
              </w:rPr>
              <w:t>1.学科背景的多样化</w:t>
            </w:r>
          </w:p>
          <w:p>
            <w:pPr>
              <w:spacing w:line="360" w:lineRule="auto"/>
              <w:ind w:firstLine="480" w:firstLineChars="200"/>
              <w:rPr>
                <w:rFonts w:ascii="Times New Roman" w:hAnsi="宋体"/>
                <w:b/>
                <w:color w:val="000000" w:themeColor="text1"/>
                <w:sz w:val="24"/>
              </w:rPr>
            </w:pPr>
            <w:r>
              <w:rPr>
                <w:rFonts w:hint="eastAsia"/>
                <w:color w:val="000000" w:themeColor="text1"/>
                <w:sz w:val="24"/>
                <w:szCs w:val="24"/>
              </w:rPr>
              <w:t>为加大建设力度，学校对本学位点的师资配备进行了优化，不但引进了大量在汉语国际教育方面有丰富经验的教师，还</w:t>
            </w:r>
            <w:r>
              <w:rPr>
                <w:rFonts w:hint="eastAsia"/>
                <w:sz w:val="24"/>
                <w:szCs w:val="24"/>
              </w:rPr>
              <w:t>将</w:t>
            </w:r>
            <w:r>
              <w:rPr>
                <w:rFonts w:hint="eastAsia"/>
                <w:color w:val="000000" w:themeColor="text1"/>
                <w:sz w:val="24"/>
                <w:szCs w:val="24"/>
              </w:rPr>
              <w:t>部分有心理学、教育学、艺术学等学科背景的教师充实到本学位点，形成了汉语国际教育、应用语言学、跨文化交际、汉语言文学、中国传统文化、教育学、心理学、外语教学、艺术等学科背景多样化的师资队伍。</w:t>
            </w:r>
          </w:p>
          <w:p>
            <w:pPr>
              <w:spacing w:line="360" w:lineRule="auto"/>
              <w:ind w:firstLine="602" w:firstLineChars="250"/>
              <w:rPr>
                <w:rFonts w:ascii="Times New Roman" w:hAnsi="宋体"/>
                <w:b/>
                <w:color w:val="000000" w:themeColor="text1"/>
                <w:sz w:val="24"/>
              </w:rPr>
            </w:pPr>
            <w:r>
              <w:rPr>
                <w:rFonts w:hint="eastAsia" w:ascii="Times New Roman" w:hAnsi="宋体"/>
                <w:b/>
                <w:color w:val="000000" w:themeColor="text1"/>
                <w:sz w:val="24"/>
              </w:rPr>
              <w:t xml:space="preserve">2.职业背景的多样化 </w:t>
            </w:r>
          </w:p>
          <w:p>
            <w:pPr>
              <w:spacing w:line="360" w:lineRule="auto"/>
              <w:ind w:firstLine="480" w:firstLineChars="200"/>
              <w:rPr>
                <w:color w:val="000000" w:themeColor="text1"/>
                <w:sz w:val="24"/>
                <w:szCs w:val="24"/>
              </w:rPr>
            </w:pPr>
            <w:r>
              <w:rPr>
                <w:rFonts w:hint="eastAsia"/>
                <w:color w:val="000000" w:themeColor="text1"/>
                <w:sz w:val="24"/>
                <w:szCs w:val="24"/>
              </w:rPr>
              <w:t>学位点</w:t>
            </w:r>
            <w:r>
              <w:rPr>
                <w:color w:val="000000" w:themeColor="text1"/>
                <w:sz w:val="24"/>
                <w:szCs w:val="24"/>
              </w:rPr>
              <w:t>有外聘教师</w:t>
            </w:r>
            <w:r>
              <w:rPr>
                <w:rFonts w:hint="eastAsia"/>
                <w:color w:val="000000" w:themeColor="text1"/>
                <w:sz w:val="24"/>
                <w:szCs w:val="24"/>
              </w:rPr>
              <w:t>16</w:t>
            </w:r>
            <w:r>
              <w:rPr>
                <w:color w:val="000000" w:themeColor="text1"/>
                <w:sz w:val="24"/>
                <w:szCs w:val="24"/>
              </w:rPr>
              <w:t>人，</w:t>
            </w:r>
            <w:r>
              <w:rPr>
                <w:rFonts w:hint="eastAsia"/>
                <w:color w:val="000000" w:themeColor="text1"/>
                <w:sz w:val="24"/>
                <w:szCs w:val="24"/>
              </w:rPr>
              <w:t>其中9人为副高以上职称的大学教师，分别来自浙江外国语学院、义乌工商职业技术学院、越秀外国语学院和台州学院；3人为中学教师，分别来自杭州保俶塔实验学校、杭州市第十三中学等；3人为小学教师，分别来自杭州市古荡一小、杭州上海世界外国语小学和杭州金成外国语小学；1人为培训机构的专家，来自唐风汉语</w:t>
            </w:r>
            <w:r>
              <w:rPr>
                <w:color w:val="000000" w:themeColor="text1"/>
                <w:sz w:val="24"/>
                <w:szCs w:val="24"/>
              </w:rPr>
              <w:t>。</w:t>
            </w:r>
          </w:p>
          <w:p>
            <w:pPr>
              <w:spacing w:line="360" w:lineRule="auto"/>
              <w:ind w:firstLine="723" w:firstLineChars="300"/>
              <w:rPr>
                <w:rFonts w:ascii="Times New Roman" w:hAnsi="宋体"/>
                <w:b/>
                <w:color w:val="000000" w:themeColor="text1"/>
                <w:sz w:val="24"/>
              </w:rPr>
            </w:pPr>
            <w:r>
              <w:rPr>
                <w:rFonts w:hint="eastAsia" w:ascii="Times New Roman" w:hAnsi="宋体"/>
                <w:b/>
                <w:color w:val="000000" w:themeColor="text1"/>
                <w:sz w:val="24"/>
              </w:rPr>
              <w:t>（二）师资队伍的国际化</w:t>
            </w:r>
          </w:p>
          <w:p>
            <w:pPr>
              <w:spacing w:line="360" w:lineRule="auto"/>
              <w:ind w:firstLine="723" w:firstLineChars="300"/>
              <w:rPr>
                <w:rFonts w:ascii="Times New Roman" w:hAnsi="宋体"/>
                <w:b/>
                <w:color w:val="000000" w:themeColor="text1"/>
                <w:sz w:val="24"/>
              </w:rPr>
            </w:pPr>
            <w:r>
              <w:rPr>
                <w:rFonts w:hint="eastAsia" w:ascii="Times New Roman" w:hAnsi="宋体"/>
                <w:b/>
                <w:color w:val="000000" w:themeColor="text1"/>
                <w:sz w:val="24"/>
              </w:rPr>
              <w:t>1.</w:t>
            </w:r>
            <w:r>
              <w:rPr>
                <w:rFonts w:ascii="Times New Roman" w:hAnsi="宋体"/>
                <w:b/>
                <w:color w:val="000000" w:themeColor="text1"/>
                <w:sz w:val="24"/>
              </w:rPr>
              <w:t xml:space="preserve"> </w:t>
            </w:r>
            <w:r>
              <w:rPr>
                <w:rFonts w:hint="eastAsia" w:ascii="Times New Roman" w:hAnsi="宋体"/>
                <w:b/>
                <w:color w:val="000000" w:themeColor="text1"/>
                <w:sz w:val="24"/>
              </w:rPr>
              <w:t>教师国外经历</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本学位点</w:t>
            </w:r>
            <w:r>
              <w:rPr>
                <w:color w:val="000000" w:themeColor="text1"/>
                <w:sz w:val="24"/>
                <w:szCs w:val="24"/>
              </w:rPr>
              <w:t>拥有海外经历的教师</w:t>
            </w:r>
            <w:r>
              <w:rPr>
                <w:rFonts w:hint="eastAsia"/>
                <w:color w:val="000000" w:themeColor="text1"/>
                <w:sz w:val="24"/>
                <w:szCs w:val="24"/>
              </w:rPr>
              <w:t>29</w:t>
            </w:r>
            <w:r>
              <w:rPr>
                <w:color w:val="000000" w:themeColor="text1"/>
                <w:sz w:val="24"/>
                <w:szCs w:val="24"/>
              </w:rPr>
              <w:t>名，</w:t>
            </w:r>
            <w:r>
              <w:rPr>
                <w:rFonts w:hint="eastAsia"/>
                <w:color w:val="000000" w:themeColor="text1"/>
                <w:sz w:val="24"/>
                <w:szCs w:val="24"/>
              </w:rPr>
              <w:t>占比</w:t>
            </w:r>
            <w:r>
              <w:rPr>
                <w:rFonts w:hint="eastAsia"/>
                <w:color w:val="FF0000"/>
                <w:sz w:val="24"/>
                <w:szCs w:val="24"/>
              </w:rPr>
              <w:t>72.5%，其中在罗马尼亚克鲁日巴雅依·波什卡大学、德国埃尔福特应用科技大学等孔子学院从事海外一线汉语教学的教师有9人。尤其值得一提的是，冯少中老师在担任罗马尼亚克鲁日孔院中方院长期间，该孔院获得了全球先进孔院荣誉称号。</w:t>
            </w:r>
            <w:r>
              <w:rPr>
                <w:rFonts w:hint="eastAsia"/>
                <w:color w:val="000000" w:themeColor="text1"/>
                <w:sz w:val="24"/>
                <w:szCs w:val="24"/>
              </w:rPr>
              <w:t xml:space="preserve"> (见附件5之表I近3年教师队伍结构及成果汇总表</w:t>
            </w:r>
            <w:r>
              <w:rPr>
                <w:rFonts w:hint="eastAsia" w:asciiTheme="minorEastAsia" w:hAnsiTheme="minorEastAsia"/>
                <w:color w:val="000000" w:themeColor="text1"/>
                <w:sz w:val="24"/>
                <w:szCs w:val="24"/>
              </w:rPr>
              <w:t>)</w:t>
            </w:r>
          </w:p>
          <w:p>
            <w:pPr>
              <w:spacing w:line="360" w:lineRule="auto"/>
              <w:ind w:firstLine="723" w:firstLineChars="300"/>
              <w:rPr>
                <w:rFonts w:ascii="Times New Roman" w:hAnsi="宋体"/>
                <w:b/>
                <w:color w:val="000000" w:themeColor="text1"/>
                <w:sz w:val="24"/>
              </w:rPr>
            </w:pPr>
            <w:r>
              <w:rPr>
                <w:rFonts w:hint="eastAsia" w:ascii="Times New Roman" w:hAnsi="宋体"/>
                <w:b/>
                <w:color w:val="000000" w:themeColor="text1"/>
                <w:sz w:val="24"/>
              </w:rPr>
              <w:t>2. 国外教师</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为了提高教师和学生的汉语国际教育水平，开阔国际视野，3年来，</w:t>
            </w:r>
            <w:r>
              <w:rPr>
                <w:rFonts w:hint="eastAsia"/>
                <w:color w:val="FF0000"/>
                <w:sz w:val="24"/>
                <w:szCs w:val="24"/>
              </w:rPr>
              <w:t>学位点</w:t>
            </w:r>
            <w:r>
              <w:rPr>
                <w:rFonts w:hint="eastAsia"/>
                <w:color w:val="FF0000"/>
                <w:sz w:val="24"/>
                <w:szCs w:val="24"/>
                <w:lang w:eastAsia="zh-CN"/>
              </w:rPr>
              <w:t>连续</w:t>
            </w:r>
            <w:r>
              <w:rPr>
                <w:rFonts w:hint="eastAsia"/>
                <w:color w:val="FF0000"/>
                <w:sz w:val="24"/>
                <w:szCs w:val="24"/>
              </w:rPr>
              <w:t>举办</w:t>
            </w:r>
            <w:r>
              <w:rPr>
                <w:rFonts w:hint="eastAsia"/>
                <w:color w:val="FF0000"/>
                <w:sz w:val="24"/>
                <w:szCs w:val="24"/>
                <w:lang w:eastAsia="zh-CN"/>
              </w:rPr>
              <w:t>三届汉语国际教育师资培训班，此外还定期邀请海外专家举行讲座</w:t>
            </w:r>
            <w:r>
              <w:rPr>
                <w:rFonts w:hint="eastAsia"/>
                <w:color w:val="FF0000"/>
                <w:sz w:val="24"/>
                <w:szCs w:val="24"/>
              </w:rPr>
              <w:t>，</w:t>
            </w:r>
            <w:r>
              <w:rPr>
                <w:rFonts w:hint="eastAsia"/>
                <w:color w:val="000000" w:themeColor="text1"/>
                <w:sz w:val="24"/>
                <w:szCs w:val="24"/>
              </w:rPr>
              <w:t>截至2018年5月，共举办讲座165课时，并聘请12名授课专家为学位点客座教授。</w:t>
            </w:r>
          </w:p>
          <w:p>
            <w:pPr>
              <w:adjustRightInd w:val="0"/>
              <w:snapToGrid w:val="0"/>
              <w:spacing w:line="360" w:lineRule="auto"/>
              <w:ind w:firstLine="480" w:firstLineChars="200"/>
              <w:rPr>
                <w:color w:val="000000" w:themeColor="text1"/>
                <w:sz w:val="24"/>
                <w:szCs w:val="24"/>
              </w:rPr>
            </w:pPr>
            <w:r>
              <w:rPr>
                <w:rFonts w:hint="eastAsia"/>
                <w:color w:val="FF0000"/>
                <w:sz w:val="24"/>
                <w:szCs w:val="24"/>
              </w:rPr>
              <w:t>此外，学位点建有多个实习基地，各实习基地都聘有校外和国外实习指导团队，对研究生实行双导师制，确保研究生在校修习学业和在外实习期间都能得到很好的指导。</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三、招生情况</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从办学伊始，学校和学院各个层面就非常重视本学位点，对招生、培养的各个环节都制定了非常详细的措施，多方开拓生源，在培养中注重应用型、复合型、国际化人才培养理念的落实，取得了良好的效果。</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从中国学生招生情况来看，生源较为充足，</w:t>
            </w:r>
            <w:r>
              <w:rPr>
                <w:rFonts w:hint="eastAsia"/>
                <w:color w:val="FF0000"/>
                <w:sz w:val="24"/>
                <w:szCs w:val="24"/>
              </w:rPr>
              <w:t>报录比一般在1:1.2到1:1.5之间；生源</w:t>
            </w:r>
            <w:r>
              <w:rPr>
                <w:rFonts w:hint="eastAsia"/>
                <w:color w:val="000000" w:themeColor="text1"/>
                <w:sz w:val="24"/>
                <w:szCs w:val="24"/>
              </w:rPr>
              <w:t>质量也较高，</w:t>
            </w:r>
            <w:r>
              <w:rPr>
                <w:rFonts w:hint="eastAsia"/>
                <w:color w:val="FF0000"/>
                <w:sz w:val="24"/>
                <w:szCs w:val="24"/>
              </w:rPr>
              <w:t>来自985、211、双一流高校、部属高校或省重点高校的比例为15%。</w:t>
            </w:r>
            <w:r>
              <w:rPr>
                <w:rFonts w:hint="eastAsia"/>
                <w:color w:val="000000" w:themeColor="text1"/>
                <w:sz w:val="24"/>
                <w:szCs w:val="24"/>
              </w:rPr>
              <w:t>自</w:t>
            </w:r>
            <w:r>
              <w:rPr>
                <w:color w:val="000000" w:themeColor="text1"/>
                <w:sz w:val="24"/>
                <w:szCs w:val="24"/>
              </w:rPr>
              <w:t>201</w:t>
            </w:r>
            <w:r>
              <w:rPr>
                <w:rFonts w:hint="eastAsia"/>
                <w:color w:val="000000" w:themeColor="text1"/>
                <w:sz w:val="24"/>
                <w:szCs w:val="24"/>
              </w:rPr>
              <w:t>5年9月至2017年9月共招收132名研究生:2015级33名，2016级44名，2017级55名，其中男生28名，女生104名。外语为英语的122人，日语6人，德语2人，俄语和韩语各1人。本科为对外汉语的 45人，占34.09 % ，汉语言文学的 30人，占22.73 %，外语专业的34人，占 25.76 %，其他专业23人。外语语种力争实现多元化，学生来源以中文和外语的相关专业为主，其他专业为补充。（见办学基本信息数据表及近3年学生整体情况表）</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来华留学生招生方面：根据国家汉办和孔子学院总部汉语教师本土化计划，在国家汉办和孔子学院总部的大力支持下，我校于2015年9月开始进行孔子学院奖学金汉语国际教育硕士专业学位外国硕士研究生的招生工作，招收有志于从事汉语国际教育事业的来华留学生来我校攻读汉语国际教育硕士专业学位。截至 2017 年9月，我校共招收来自乌克兰、俄罗斯、吉尔吉斯斯坦、哈萨克斯坦、土耳其、罗马尼亚、加纳、乌兹别克、秘鲁、匈牙利等4个洲10个国家的汉语国际教育硕士专业学位来华留学研究生18名，其中孔子学院奖学金硕士研究生7名，中国政府奖学金硕士研究生 2 名，自费研究生9名。</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四、培养成果</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（一）获奖情况</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1.学科获奖</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学位点专任教师在学科和教学方面用力较多，屡有建树，共有18人次获奖。</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在学科方面，学位点负责人王建华教授的论著</w:t>
            </w:r>
            <w:r>
              <w:rPr>
                <w:color w:val="FF0000"/>
                <w:sz w:val="24"/>
                <w:szCs w:val="24"/>
              </w:rPr>
              <w:t>《现代汉语语境研究》获浙江省政府优秀社科成果奖二等奖</w:t>
            </w:r>
            <w:r>
              <w:rPr>
                <w:rFonts w:hint="eastAsia"/>
                <w:color w:val="FF0000"/>
                <w:sz w:val="24"/>
                <w:szCs w:val="24"/>
              </w:rPr>
              <w:t>，</w:t>
            </w:r>
            <w:r>
              <w:rPr>
                <w:color w:val="000000" w:themeColor="text1"/>
                <w:sz w:val="24"/>
                <w:szCs w:val="24"/>
              </w:rPr>
              <w:t>《语用学与语文教学》获浙江省政府优秀社科成果奖三等奖</w:t>
            </w:r>
            <w:r>
              <w:rPr>
                <w:rFonts w:hint="eastAsia"/>
                <w:color w:val="000000" w:themeColor="text1"/>
                <w:sz w:val="24"/>
                <w:szCs w:val="24"/>
              </w:rPr>
              <w:t>，</w:t>
            </w:r>
            <w:r>
              <w:rPr>
                <w:color w:val="000000" w:themeColor="text1"/>
                <w:sz w:val="24"/>
                <w:szCs w:val="24"/>
              </w:rPr>
              <w:t>《老舍的语言艺术》获全国</w:t>
            </w:r>
            <w:r>
              <w:rPr>
                <w:rFonts w:hint="eastAsia" w:asciiTheme="minorEastAsia" w:hAnsiTheme="minorEastAsia"/>
                <w:color w:val="000000" w:themeColor="text1"/>
                <w:sz w:val="24"/>
                <w:szCs w:val="24"/>
              </w:rPr>
              <w:t>“</w:t>
            </w:r>
            <w:r>
              <w:rPr>
                <w:rFonts w:asciiTheme="minorEastAsia" w:hAnsiTheme="minorEastAsia"/>
                <w:color w:val="000000" w:themeColor="text1"/>
                <w:sz w:val="24"/>
                <w:szCs w:val="24"/>
              </w:rPr>
              <w:t>陈望道修辞学奖</w:t>
            </w:r>
            <w:r>
              <w:rPr>
                <w:rFonts w:hint="eastAsia" w:asciiTheme="minorEastAsia" w:hAnsiTheme="minorEastAsia"/>
                <w:color w:val="000000" w:themeColor="text1"/>
                <w:sz w:val="24"/>
                <w:szCs w:val="24"/>
              </w:rPr>
              <w:t>”</w:t>
            </w:r>
            <w:r>
              <w:rPr>
                <w:color w:val="000000" w:themeColor="text1"/>
                <w:sz w:val="24"/>
                <w:szCs w:val="24"/>
              </w:rPr>
              <w:t>三等奖</w:t>
            </w:r>
            <w:r>
              <w:rPr>
                <w:rFonts w:hint="eastAsia"/>
                <w:color w:val="000000" w:themeColor="text1"/>
                <w:sz w:val="24"/>
                <w:szCs w:val="24"/>
              </w:rPr>
              <w:t>，</w:t>
            </w:r>
            <w:r>
              <w:rPr>
                <w:color w:val="000000" w:themeColor="text1"/>
                <w:sz w:val="24"/>
                <w:szCs w:val="24"/>
              </w:rPr>
              <w:t>主编</w:t>
            </w:r>
            <w:r>
              <w:rPr>
                <w:rFonts w:hint="eastAsia"/>
                <w:color w:val="000000" w:themeColor="text1"/>
                <w:sz w:val="24"/>
                <w:szCs w:val="24"/>
              </w:rPr>
              <w:t>的</w:t>
            </w:r>
            <w:r>
              <w:rPr>
                <w:color w:val="000000" w:themeColor="text1"/>
                <w:sz w:val="24"/>
                <w:szCs w:val="24"/>
              </w:rPr>
              <w:t>《21世纪语言文字应用规范论析》获</w:t>
            </w:r>
            <w:r>
              <w:fldChar w:fldCharType="begin"/>
            </w:r>
            <w:r>
              <w:instrText xml:space="preserve"> HYPERLINK "https://baike.baidu.com/item/%E6%B5%99%E6%B1%9F%E7%9C%81%E6%95%99%E8%82%B2%E5%8E%85" \t "_blank" </w:instrText>
            </w:r>
            <w:r>
              <w:fldChar w:fldCharType="separate"/>
            </w:r>
            <w:r>
              <w:rPr>
                <w:color w:val="000000" w:themeColor="text1"/>
                <w:sz w:val="24"/>
                <w:szCs w:val="24"/>
              </w:rPr>
              <w:t>浙江省教育厅</w:t>
            </w:r>
            <w:r>
              <w:rPr>
                <w:color w:val="000000" w:themeColor="text1"/>
                <w:sz w:val="24"/>
                <w:szCs w:val="24"/>
              </w:rPr>
              <w:fldChar w:fldCharType="end"/>
            </w:r>
            <w:r>
              <w:rPr>
                <w:color w:val="000000" w:themeColor="text1"/>
                <w:sz w:val="24"/>
                <w:szCs w:val="24"/>
              </w:rPr>
              <w:t>优秀科研成果奖一等奖</w:t>
            </w:r>
            <w:r>
              <w:rPr>
                <w:rFonts w:hint="eastAsia"/>
                <w:color w:val="000000" w:themeColor="text1"/>
                <w:sz w:val="24"/>
                <w:szCs w:val="24"/>
              </w:rPr>
              <w:t>、</w:t>
            </w:r>
            <w:r>
              <w:rPr>
                <w:color w:val="000000" w:themeColor="text1"/>
                <w:sz w:val="24"/>
                <w:szCs w:val="24"/>
              </w:rPr>
              <w:t>浙江省政府优秀社科成果奖三等奖</w:t>
            </w:r>
            <w:r>
              <w:rPr>
                <w:rFonts w:hint="eastAsia"/>
                <w:color w:val="000000" w:themeColor="text1"/>
                <w:sz w:val="24"/>
                <w:szCs w:val="24"/>
              </w:rPr>
              <w:t>；叶晗教授主编的作品《世界遗产保护启示录》，获全国优秀社会科学普及作品奖，《百部文化名著导读》获浙江省哲学社会科学优秀成果三等奖；税昌锡教师的论著《汉语语义指向论稿》获吉林省新闻出版奖·图书精品奖，《汉语语义指向论稿》获贵州省第七次哲学社会科学优秀成果二等奖，《附着事件、附着动词及相关句法语义》，获贵州省第八次哲学社会科学优秀成果三等奖，《基于事件过程结构的“了”语法意义新探》，获贵州省第十次哲学社会科学优秀成果三等奖；杨同用教授的论著《现代汉语篇章中的语言表现形式研究》获河北省哲学社会科学优秀成果</w:t>
            </w:r>
            <w:r>
              <w:rPr>
                <w:rFonts w:hint="eastAsia"/>
                <w:sz w:val="24"/>
                <w:szCs w:val="24"/>
              </w:rPr>
              <w:t>三</w:t>
            </w:r>
            <w:r>
              <w:rPr>
                <w:rFonts w:hint="eastAsia"/>
                <w:color w:val="000000" w:themeColor="text1"/>
                <w:sz w:val="24"/>
                <w:szCs w:val="24"/>
              </w:rPr>
              <w:t>等奖；王彦章老师参与撰写的《当代中国审美文化》获教育部优秀成果三等奖，论著《中国风尚史》（元明清卷）获新闻出版署、山东省优秀奖；程永艳老师参与研究的项目“农民工基本文化权益保障问题研究”获浙江省哲学社会科学优秀成果奖应用对策类三等奖；凌喆老师的论文《&lt;思绪之狐&gt;：休斯的一个诗学起》获浙江省社科联青年社会科学优秀成果三等奖。</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在教学方面，叶晗教授</w:t>
            </w:r>
            <w:r>
              <w:rPr>
                <w:rFonts w:hint="eastAsia"/>
                <w:color w:val="000000" w:themeColor="text1"/>
                <w:sz w:val="24"/>
                <w:szCs w:val="24"/>
                <w:lang w:eastAsia="zh-CN"/>
              </w:rPr>
              <w:t>参与</w:t>
            </w:r>
            <w:r>
              <w:rPr>
                <w:rFonts w:hint="eastAsia"/>
                <w:color w:val="000000" w:themeColor="text1"/>
                <w:sz w:val="24"/>
                <w:szCs w:val="24"/>
              </w:rPr>
              <w:t>的项目“基于中德合作本科应用型人才培养二十年探索与实践”</w:t>
            </w:r>
            <w:r>
              <w:rPr>
                <w:rFonts w:hint="eastAsia"/>
                <w:color w:val="FF0000"/>
                <w:sz w:val="24"/>
                <w:szCs w:val="24"/>
              </w:rPr>
              <w:t>获国家教学成果二等奖、浙江省教学成果一等奖</w:t>
            </w:r>
            <w:r>
              <w:rPr>
                <w:rFonts w:hint="eastAsia"/>
                <w:color w:val="000000" w:themeColor="text1"/>
                <w:sz w:val="24"/>
                <w:szCs w:val="24"/>
              </w:rPr>
              <w:t>；祝敏老师的《语言学概论》课件获全国多媒体课件大赛高教文科组二等奖；张玲老师获校青年教师教学技能竞赛“十佳”称号，微课获浙江省高校微课教学比赛外语组视频类三等奖。</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2.学生获奖</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校起草了多个文件，出台了一系列政策，保证了研究生培养有序进行。在培养过程中，我们狠抓课程学习、实习实践、论文写作等各个环节。鼓励学生参加汉办志愿者选拔、汉语国际教师资格证和中小学教师资格证考试、各大比赛和各类实践活动等。</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在全校上下的共同努力下，我校汉语国际教育研究生成了一道独特的风景线，不但是学习、科研方面的先锋模范，也是各种比赛和活动的主力军。3年来，共有28人次获奖。主要奖项如下：2016 级研究生韩静获国家研究生奖学金，还作为国家奖学金获得者代表，参加浙江省电视台的拍摄，并赴全省各地宣讲。2015 级2位国内研究生、2016级5位国内研究生和1位外国来华留学研究生参加国家汉办举办的第一届“汉教英雄会”，其中2015级的王晨蕾同学顺利通过海</w:t>
            </w:r>
            <w:r>
              <w:rPr>
                <w:rFonts w:hint="eastAsia" w:asciiTheme="minorEastAsia" w:hAnsiTheme="minorEastAsia"/>
                <w:color w:val="000000" w:themeColor="text1"/>
                <w:sz w:val="24"/>
                <w:szCs w:val="24"/>
              </w:rPr>
              <w:t>选,</w:t>
            </w:r>
            <w:r>
              <w:rPr>
                <w:rFonts w:hint="eastAsia"/>
                <w:color w:val="000000" w:themeColor="text1"/>
                <w:sz w:val="24"/>
                <w:szCs w:val="24"/>
              </w:rPr>
              <w:t>2017级2位国内研究生参加第二届“汉教英雄会”，并获得优秀奖。2016级韩静同学、2017级朱奥雪同学和2016级褚珊珊同学带领的团队，分别以《浙江省大学生网络借贷的现状、问题与解决对策——以浙江省11市高校在校生为调研对象》《AR技术应用于幼儿国学启蒙教育》和《后G20时代杭州公共文化设施运行现状和机制创新研究》等项目获浙江省挑战杯一等奖、银奖</w:t>
            </w:r>
            <w:r>
              <w:rPr>
                <w:rFonts w:hint="eastAsia"/>
                <w:color w:val="FF0000"/>
                <w:sz w:val="24"/>
                <w:szCs w:val="24"/>
              </w:rPr>
              <w:t>（相当于一等奖，往年的奖项设置是：特等奖、一等奖、二等奖和三等奖；今年的奖项设置是金奖、银奖、铜奖）</w:t>
            </w:r>
            <w:r>
              <w:rPr>
                <w:rFonts w:hint="eastAsia"/>
                <w:color w:val="000000" w:themeColor="text1"/>
                <w:sz w:val="24"/>
                <w:szCs w:val="24"/>
              </w:rPr>
              <w:t>和三等奖。特别需要指出的是，韩静同学团队挑战杯项目的调研报告获得省委宣传部长的批示。2017级来华留学研究生劲赫拉获2017年“永和坤乾湾”杯全国大学生演讲个人二等奖、团体一等奖；2017级研究生汪诗瑶获浙江省2017年诚信主题演讲比赛三等奖。</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此外，2015级孙宏茂和江坤同学分别在《浙江科技学院学报》（2018年第4期）和《汉语应用语言学研究 》（第七辑）上发表了论文《</w:t>
            </w:r>
            <w:r>
              <w:rPr>
                <w:rFonts w:hint="eastAsia"/>
                <w:color w:val="000000" w:themeColor="text1"/>
                <w:sz w:val="24"/>
              </w:rPr>
              <w:t>英语国家留学生限定性范围副词偏误研究——以乙级词汇“单”“光”“仅”为例</w:t>
            </w:r>
            <w:r>
              <w:rPr>
                <w:rFonts w:hint="eastAsia"/>
                <w:color w:val="000000" w:themeColor="text1"/>
                <w:sz w:val="24"/>
                <w:szCs w:val="24"/>
              </w:rPr>
              <w:t>》和《马来西亚汉语教学现状与策略》；</w:t>
            </w:r>
            <w:r>
              <w:rPr>
                <w:rFonts w:hint="eastAsia"/>
                <w:color w:val="FF0000"/>
                <w:sz w:val="24"/>
                <w:szCs w:val="24"/>
              </w:rPr>
              <w:t>2016级韩静同学在《大观》杂志上发表了《对外汉语课文编写中的心理学因素分析——以</w:t>
            </w:r>
            <w:r>
              <w:rPr>
                <w:rFonts w:hint="eastAsia" w:ascii="宋体" w:hAnsi="宋体" w:eastAsia="宋体" w:cs="宋体"/>
                <w:color w:val="FF0000"/>
                <w:sz w:val="24"/>
                <w:szCs w:val="24"/>
              </w:rPr>
              <w:t>&lt;</w:t>
            </w:r>
            <w:r>
              <w:rPr>
                <w:rFonts w:hint="eastAsia"/>
                <w:color w:val="FF0000"/>
                <w:sz w:val="24"/>
                <w:szCs w:val="24"/>
              </w:rPr>
              <w:t>发展汉语</w:t>
            </w:r>
            <w:r>
              <w:rPr>
                <w:rFonts w:hint="eastAsia" w:ascii="宋体" w:hAnsi="宋体" w:eastAsia="宋体" w:cs="宋体"/>
                <w:color w:val="FF0000"/>
                <w:sz w:val="24"/>
                <w:szCs w:val="24"/>
              </w:rPr>
              <w:t>&gt;</w:t>
            </w:r>
            <w:r>
              <w:rPr>
                <w:rFonts w:hint="eastAsia"/>
                <w:color w:val="FF0000"/>
                <w:sz w:val="24"/>
                <w:szCs w:val="24"/>
              </w:rPr>
              <w:t>和</w:t>
            </w:r>
            <w:r>
              <w:rPr>
                <w:rFonts w:hint="eastAsia" w:ascii="宋体" w:hAnsi="宋体" w:eastAsia="宋体" w:cs="宋体"/>
                <w:color w:val="FF0000"/>
                <w:sz w:val="24"/>
                <w:szCs w:val="24"/>
              </w:rPr>
              <w:t>&lt;</w:t>
            </w:r>
            <w:r>
              <w:rPr>
                <w:rFonts w:hint="eastAsia"/>
                <w:color w:val="FF0000"/>
                <w:sz w:val="24"/>
                <w:szCs w:val="24"/>
              </w:rPr>
              <w:t>博雅汉语</w:t>
            </w:r>
            <w:r>
              <w:rPr>
                <w:rFonts w:hint="eastAsia" w:ascii="宋体" w:hAnsi="宋体" w:eastAsia="宋体" w:cs="宋体"/>
                <w:color w:val="FF0000"/>
                <w:sz w:val="24"/>
                <w:szCs w:val="24"/>
              </w:rPr>
              <w:t>&gt;</w:t>
            </w:r>
            <w:r>
              <w:rPr>
                <w:rFonts w:hint="eastAsia"/>
                <w:color w:val="FF0000"/>
                <w:sz w:val="24"/>
                <w:szCs w:val="24"/>
              </w:rPr>
              <w:t>为例》，在《中国新通信》杂志上发表了《基于移动智能载体展开大学生诚信导向建设的探索》；</w:t>
            </w:r>
            <w:r>
              <w:rPr>
                <w:rFonts w:hint="eastAsia"/>
                <w:color w:val="000000" w:themeColor="text1"/>
                <w:sz w:val="24"/>
                <w:szCs w:val="24"/>
              </w:rPr>
              <w:t>来自哈萨克斯坦的2016级来华留学研究生王伶韵同学在《海外华文教育动态》（2017年第11期）杂志上发表了论文《来华留学生汉语口语心理焦虑情况调查分析——以浙江科技学院为例》。</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除了争取自身发展和进步外，我校汉语国际教育学位点的潘益青、梁美美、刘泉子和吴夏梦等同学还积极指导留学生参加各类比赛，并取得了优异的成绩：留学生王亚当同学获CCTV2016年“汉语桥”全球外国人汉语大会第七名，并获个人赛“知识会优秀个人奖”；留学生阿拉丁等分别获得2017年永和坤乾湾”杯全国大学生演讲个人一、二等奖和团体一等奖；《戏曲联唱》获“梦行浙江”中华才艺活动展演省三等奖。</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（二）就业质量</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1.就业率</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就业率是衡量学位点办学质量的重要指标，为了提高就业率和研究生的就业满意度，我们从研究生入学后就有条不紊地指导研究生进行职业规划，并广泛开拓就业渠道，帮助研究生就业。截至2018年3月，浙江科技学院汉语国际教育学位点已毕业国内研究生33名，来华留学研究生2名。33位国内研究生中有32人实现了就业，就业率达97%；2名来华留学研究生全部实现了就业，就业率达100%。</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2.行业相关率</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33位国内研究生中从事与汉语国际教育相关工作的有22人，就业相关度达66.67%，其中</w:t>
            </w:r>
            <w:r>
              <w:rPr>
                <w:rFonts w:hint="eastAsia" w:ascii="Calibri" w:hAnsi="Calibri"/>
                <w:color w:val="FF0000"/>
                <w:sz w:val="24"/>
                <w:szCs w:val="24"/>
              </w:rPr>
              <w:t>海外汉语教师4人</w:t>
            </w:r>
            <w:r>
              <w:rPr>
                <w:rFonts w:hint="eastAsia" w:ascii="Calibri" w:hAnsi="Calibri"/>
                <w:color w:val="000000" w:themeColor="text1"/>
                <w:sz w:val="24"/>
                <w:szCs w:val="24"/>
              </w:rPr>
              <w:t>（分别在罗马尼亚、印度尼西亚和泰国</w:t>
            </w:r>
            <w:r>
              <w:rPr>
                <w:rFonts w:hint="eastAsia" w:ascii="Calibri" w:hAnsi="Calibri"/>
                <w:color w:val="FF0000"/>
                <w:sz w:val="24"/>
                <w:szCs w:val="24"/>
              </w:rPr>
              <w:t>任教</w:t>
            </w:r>
            <w:r>
              <w:rPr>
                <w:rFonts w:hint="eastAsia" w:ascii="Calibri" w:hAnsi="Calibri"/>
                <w:color w:val="000000" w:themeColor="text1"/>
                <w:sz w:val="24"/>
                <w:szCs w:val="24"/>
              </w:rPr>
              <w:t>），在国内高校担任对外汉语教师的有5人（分别在美国明德大学杭州分校、上海交通大学和浙江科技学院任教），在杭州、深圳、天津等地从事中小学教育的13人，在培训机构担任语文教师的有2人。2名来华留学研究生，1名赴德国攻读博士学位，1名回</w:t>
            </w:r>
            <w:r>
              <w:rPr>
                <w:rFonts w:hint="eastAsia" w:ascii="Calibri" w:hAnsi="Calibri"/>
                <w:color w:val="000000" w:themeColor="text1"/>
                <w:sz w:val="24"/>
                <w:szCs w:val="24"/>
                <w:lang w:eastAsia="zh-CN"/>
              </w:rPr>
              <w:t>生源</w:t>
            </w:r>
            <w:r>
              <w:rPr>
                <w:rFonts w:hint="eastAsia" w:ascii="Calibri" w:hAnsi="Calibri"/>
                <w:color w:val="000000" w:themeColor="text1"/>
                <w:sz w:val="24"/>
                <w:szCs w:val="24"/>
              </w:rPr>
              <w:t>国就业。总体而言，就业质量良</w:t>
            </w:r>
            <w:r>
              <w:rPr>
                <w:rFonts w:hint="eastAsia" w:asciiTheme="minorEastAsia" w:hAnsiTheme="minorEastAsia"/>
                <w:color w:val="000000" w:themeColor="text1"/>
                <w:sz w:val="24"/>
                <w:szCs w:val="24"/>
              </w:rPr>
              <w:t>好,就业满意度较高</w:t>
            </w:r>
            <w:r>
              <w:rPr>
                <w:rFonts w:hint="eastAsia" w:ascii="Calibri" w:hAnsi="Calibri"/>
                <w:color w:val="000000" w:themeColor="text1"/>
                <w:sz w:val="24"/>
                <w:szCs w:val="24"/>
              </w:rPr>
              <w:t>。（见附件 5之Ⅱ-6毕业生就业情况）。</w:t>
            </w:r>
          </w:p>
          <w:p>
            <w:pPr>
              <w:adjustRightInd w:val="0"/>
              <w:snapToGrid w:val="0"/>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五、</w:t>
            </w:r>
            <w:r>
              <w:rPr>
                <w:rFonts w:hint="eastAsia" w:ascii="Calibri" w:hAnsi="Calibri"/>
                <w:b/>
                <w:color w:val="000000" w:themeColor="text1"/>
                <w:sz w:val="24"/>
                <w:szCs w:val="24"/>
              </w:rPr>
              <w:t>平台优势</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我校人文国际与教育学院由原语言文学学院的汉语言文学专业、原国际教育学院的汉语国际教育系、校大学生艺术教育中心、校大学生文化素质教育基地等合并组建而成。这几大机构在</w:t>
            </w:r>
            <w:r>
              <w:rPr>
                <w:rFonts w:hint="eastAsia" w:ascii="Calibri" w:hAnsi="Calibri"/>
                <w:color w:val="000000" w:themeColor="text1"/>
                <w:sz w:val="24"/>
                <w:szCs w:val="24"/>
                <w:lang w:eastAsia="zh-CN"/>
              </w:rPr>
              <w:t>学位点所在</w:t>
            </w:r>
            <w:r>
              <w:rPr>
                <w:rFonts w:hint="eastAsia" w:ascii="Calibri" w:hAnsi="Calibri"/>
                <w:color w:val="000000" w:themeColor="text1"/>
                <w:sz w:val="24"/>
                <w:szCs w:val="24"/>
              </w:rPr>
              <w:t>的人文与国际教育学院中各司其职，凝心聚力推动学院稳健有序发展。</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对汉语国际教育学位点的研究生而言，由这几大机构构成的学院为他们的学习和成长提供了广阔的发展空间和良好的平台。其中，汉语国际教育系的老师在汉语国际教育方面能为他们打好扎实的基础，该系丰富的来华留学生资源，可以给研究生提供很好的实习和实践机会；中文系的老师在语言学、文学和文化等方面能为研究生们起到良好的指导和引导作用；校大学生艺术教育中心的老师能时常在艺术方面对研究生们进行熏陶，该中心的社团也能为研究生们提高艺术素养提供便利；校大学生文化素质教育基地承担全校的文化素质工作，经常举办各类文化活动，比如</w:t>
            </w:r>
            <w:r>
              <w:rPr>
                <w:rFonts w:hint="eastAsia" w:asciiTheme="minorEastAsia" w:hAnsiTheme="minorEastAsia"/>
                <w:color w:val="000000" w:themeColor="text1"/>
                <w:sz w:val="24"/>
                <w:szCs w:val="24"/>
              </w:rPr>
              <w:t>,</w:t>
            </w:r>
            <w:r>
              <w:rPr>
                <w:rFonts w:hint="eastAsia" w:ascii="Calibri" w:hAnsi="Calibri"/>
                <w:color w:val="000000" w:themeColor="text1"/>
                <w:sz w:val="24"/>
                <w:szCs w:val="24"/>
              </w:rPr>
              <w:t>中国传统文化体验活动、孔子文化节、茶艺和汉服等的相关活动等，这些活动为研究生们提高传统文化修养，锻炼中华文化的传播与推广能力奠定了良好的基础。</w:t>
            </w:r>
          </w:p>
          <w:p>
            <w:pPr>
              <w:adjustRightInd w:val="0"/>
              <w:snapToGrid w:val="0"/>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六、管理保障</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我校研究生教育起步虽然较晚，但全校上下都十分重视该项工作。在管理方面，也有坚实的保障。</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（一）管理</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1.合理的管理体制</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在机构设置方面，校研究生院（原为研究生处）分设研工、研究生教育与培养、办公室、研究生招生与就业等岗位；学院有分管学科和研究生工作的副院长，负责研究生教学工作的汉语国际教育部主任，还设有专门的学科与研究生工作办公室，研究生秘书负责研究生招生与就业、教育与培养等工作，研究生辅导员负责研究生的日常管理等工作。此外，学校和学院建有校、院两级研究生会，班级有班团两套学生干部，这些学生干部凭借他们出色的工作能力成为了研究生管理方面的有益补充。比如说，迎接新生、招生复试和汉语国际教育培训班等工作，有好多都是由研究生干部来协助完成的。</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2.完备的管理制度</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位点规章制度和教学文件齐全，制订了《浙江科技学院关于制订硕士研究生培养方案的指导意见》《浙江科技学院关于制订硕士研究生课程教学大纲的指导意见》《浙江科技学院研究生课程教学暂行规定》《浙江科技学院研究生培养督导工作规定（试行）》《浙江科技学院研究生学籍管理实施细则（试行）》《浙江科技学院外国来华留学硕士研究生学籍管理规定》《浙江科技学院汉语国际教育硕士专业学位实践教学规则》等一系列文件和规章制度。规范了教学、实习实践、学籍等方面的管理。</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位授予严格按照《浙江科技学院硕士学位授予工作细则》的规定，依据《浙江科技学院硕士研究生文献选读与开题报告工作实施办法（试行）》《浙江科技学院研究生学位论文评阅及答辩工作暂行规定》等文件，在论文开题、毕业论文预答辩、毕业论文答辩等环节认真把关，保证了毕业论文质量。研究生的毕业论文格式规范、内容充实、选题紧密结合汉语国际推广工作实际，理论与实践联系密切。</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（二）保障</w:t>
            </w:r>
          </w:p>
          <w:p>
            <w:pPr>
              <w:spacing w:line="360" w:lineRule="auto"/>
              <w:ind w:firstLine="482" w:firstLineChars="200"/>
              <w:rPr>
                <w:rFonts w:ascii="Times New Roman" w:hAnsi="宋体"/>
                <w:b/>
                <w:color w:val="FF0000"/>
                <w:sz w:val="24"/>
              </w:rPr>
            </w:pPr>
            <w:r>
              <w:rPr>
                <w:rFonts w:hint="eastAsia" w:ascii="Times New Roman" w:hAnsi="宋体"/>
                <w:b/>
                <w:color w:val="FF0000"/>
                <w:sz w:val="24"/>
              </w:rPr>
              <w:t>1.奖助学金体系</w:t>
            </w:r>
          </w:p>
          <w:p>
            <w:pPr>
              <w:adjustRightInd w:val="0"/>
              <w:snapToGrid w:val="0"/>
              <w:spacing w:line="360" w:lineRule="auto"/>
              <w:ind w:firstLine="480" w:firstLineChars="200"/>
              <w:rPr>
                <w:color w:val="FF0000"/>
                <w:sz w:val="24"/>
                <w:szCs w:val="24"/>
              </w:rPr>
            </w:pPr>
            <w:r>
              <w:rPr>
                <w:rFonts w:hint="eastAsia"/>
                <w:color w:val="FF0000"/>
                <w:sz w:val="24"/>
                <w:szCs w:val="24"/>
              </w:rPr>
              <w:t>为了保证研究生培养质量，学校设有完备的奖助学金体系。</w:t>
            </w:r>
          </w:p>
          <w:p>
            <w:pPr>
              <w:adjustRightInd w:val="0"/>
              <w:snapToGrid w:val="0"/>
              <w:spacing w:line="360" w:lineRule="auto"/>
              <w:ind w:firstLine="480" w:firstLineChars="200"/>
              <w:rPr>
                <w:color w:val="FF0000"/>
                <w:sz w:val="24"/>
                <w:szCs w:val="24"/>
              </w:rPr>
            </w:pPr>
            <w:r>
              <w:rPr>
                <w:rFonts w:hint="eastAsia"/>
                <w:color w:val="FF0000"/>
                <w:sz w:val="24"/>
                <w:szCs w:val="24"/>
              </w:rPr>
              <w:t>奖助学金如下：</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⑴</w:t>
            </w:r>
            <w:r>
              <w:rPr>
                <w:rFonts w:hint="eastAsia"/>
                <w:color w:val="FF0000"/>
                <w:sz w:val="24"/>
                <w:szCs w:val="24"/>
              </w:rPr>
              <w:t>国家助学金：覆盖面100%，6000元/生/年。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⑵</w:t>
            </w:r>
            <w:r>
              <w:rPr>
                <w:rFonts w:hint="eastAsia"/>
                <w:color w:val="FF0000"/>
                <w:sz w:val="24"/>
                <w:szCs w:val="24"/>
              </w:rPr>
              <w:t>国家奖学金：获奖比例约2.5%，20000元/生/年。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⑶</w:t>
            </w:r>
            <w:r>
              <w:rPr>
                <w:rFonts w:hint="eastAsia"/>
                <w:color w:val="FF0000"/>
                <w:sz w:val="24"/>
                <w:szCs w:val="24"/>
              </w:rPr>
              <w:t>学业奖学金：一年级研究生学业奖学金，覆盖面100%，一等奖20%，10000元/生/年，二等奖80%，8000元/生/年；二、三年级研究生学业奖学金，覆盖面100%，一等奖10%，12000元/生/年，二等奖30%，10000元/生/年，三等奖60%，8000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⑷</w:t>
            </w:r>
            <w:r>
              <w:rPr>
                <w:rFonts w:hint="eastAsia"/>
                <w:color w:val="FF0000"/>
                <w:sz w:val="24"/>
                <w:szCs w:val="24"/>
              </w:rPr>
              <w:t xml:space="preserve"> “三助一辅”岗位津贴</w:t>
            </w:r>
          </w:p>
          <w:p>
            <w:pPr>
              <w:adjustRightInd w:val="0"/>
              <w:snapToGrid w:val="0"/>
              <w:spacing w:line="360" w:lineRule="auto"/>
              <w:ind w:firstLine="480" w:firstLineChars="200"/>
              <w:rPr>
                <w:color w:val="FF0000"/>
                <w:sz w:val="24"/>
                <w:szCs w:val="24"/>
              </w:rPr>
            </w:pPr>
            <w:r>
              <w:rPr>
                <w:rFonts w:hint="eastAsia" w:asciiTheme="minorEastAsia" w:hAnsiTheme="minorEastAsia"/>
                <w:color w:val="FF0000"/>
                <w:sz w:val="24"/>
                <w:szCs w:val="24"/>
              </w:rPr>
              <w:t>①</w:t>
            </w:r>
            <w:r>
              <w:rPr>
                <w:rFonts w:hint="eastAsia"/>
                <w:color w:val="FF0000"/>
                <w:sz w:val="24"/>
                <w:szCs w:val="24"/>
              </w:rPr>
              <w:t xml:space="preserve"> “助研”覆盖面100%（面向老生），岗位津贴不低于3000元/生/年（人文社科类不低于2000元/生/年）。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②</w:t>
            </w:r>
            <w:r>
              <w:rPr>
                <w:rFonts w:hint="eastAsia"/>
                <w:color w:val="FF0000"/>
                <w:sz w:val="24"/>
                <w:szCs w:val="24"/>
              </w:rPr>
              <w:t xml:space="preserve"> “助教”、“助管”覆盖面100%（面向新生），岗位津贴不低于3200元/生/年。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⑸</w:t>
            </w:r>
            <w:r>
              <w:rPr>
                <w:rFonts w:hint="eastAsia"/>
                <w:color w:val="FF0000"/>
                <w:sz w:val="24"/>
                <w:szCs w:val="24"/>
              </w:rPr>
              <w:t>各类研究生单项奖学金（学术风尚奖、科研成果奖、创新创业奖、社会贡献奖等），覆盖面约10%，奖金金额1000元/生/年。</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⑹</w:t>
            </w:r>
            <w:r>
              <w:rPr>
                <w:rFonts w:hint="eastAsia"/>
                <w:color w:val="FF0000"/>
                <w:sz w:val="24"/>
                <w:szCs w:val="24"/>
              </w:rPr>
              <w:t>研究生科研成果奖励请参照《浙江科技学院研究生科研成果奖励办法（试行）》 （浙科院研[2017]6号）。</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⑺</w:t>
            </w:r>
            <w:r>
              <w:rPr>
                <w:rFonts w:hint="eastAsia"/>
                <w:color w:val="FF0000"/>
                <w:sz w:val="24"/>
                <w:szCs w:val="24"/>
              </w:rPr>
              <w:t>在我校攻读硕士研究生期间发表学术论文的研究生，如应邀参加经学校认定是正规的在国(境）外召开的国际学术会议，学校可给予报销一次经济舱往返飞机票、生活补贴及会务费。</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⑻</w:t>
            </w:r>
            <w:r>
              <w:rPr>
                <w:rFonts w:hint="eastAsia"/>
                <w:color w:val="FF0000"/>
                <w:sz w:val="24"/>
                <w:szCs w:val="24"/>
              </w:rPr>
              <w:t>研究生科研创新基金，用于资助学生的科技创新，课题研究等，资助金额理工类一般不低于5000元/项，人文社科类一般不低于3000元/项。</w:t>
            </w:r>
          </w:p>
          <w:p>
            <w:pPr>
              <w:adjustRightInd w:val="0"/>
              <w:snapToGrid w:val="0"/>
              <w:spacing w:line="360" w:lineRule="auto"/>
              <w:ind w:firstLine="360" w:firstLineChars="150"/>
              <w:rPr>
                <w:color w:val="FF0000"/>
                <w:sz w:val="24"/>
                <w:szCs w:val="24"/>
              </w:rPr>
            </w:pPr>
            <w:r>
              <w:rPr>
                <w:rFonts w:hint="eastAsia" w:ascii="宋体" w:hAnsi="宋体" w:eastAsia="宋体"/>
                <w:color w:val="FF0000"/>
                <w:sz w:val="24"/>
                <w:szCs w:val="24"/>
              </w:rPr>
              <w:t xml:space="preserve"> ⑼</w:t>
            </w:r>
            <w:r>
              <w:rPr>
                <w:rFonts w:hint="eastAsia"/>
                <w:color w:val="FF0000"/>
                <w:sz w:val="24"/>
                <w:szCs w:val="24"/>
              </w:rPr>
              <w:t>对于确有家庭经济困难的，学校建立“绿色通道”制度，允许先入学，后缴费。新生可在户口所在地办理生源地助学贷款（办理手续比就学地贷款方便、快捷），也可入学后在学校办理就学地助学贷款。另外，新生正式报到注册后，可申请研究生困难补助，请参照《浙江科技学院研究生困难补助实施办法（试行）》（浙科院研[2017]7号）。</w:t>
            </w:r>
          </w:p>
          <w:p>
            <w:pPr>
              <w:adjustRightInd w:val="0"/>
              <w:snapToGrid w:val="0"/>
              <w:spacing w:line="360" w:lineRule="auto"/>
              <w:ind w:firstLine="480" w:firstLineChars="200"/>
              <w:rPr>
                <w:color w:val="FF0000"/>
                <w:sz w:val="24"/>
                <w:szCs w:val="24"/>
              </w:rPr>
            </w:pPr>
            <w:r>
              <w:rPr>
                <w:rFonts w:hint="eastAsia" w:ascii="宋体" w:hAnsi="宋体" w:eastAsia="宋体"/>
                <w:color w:val="FF0000"/>
                <w:sz w:val="24"/>
                <w:szCs w:val="24"/>
              </w:rPr>
              <w:t>⑽</w:t>
            </w:r>
            <w:r>
              <w:rPr>
                <w:rFonts w:hint="eastAsia"/>
                <w:color w:val="FF0000"/>
                <w:sz w:val="24"/>
                <w:szCs w:val="24"/>
              </w:rPr>
              <w:t>新生正式报到注册后，享受招生简章中各项奖助政策。学校另行一次性奖励“985”、“211”、“高等学校创新能力提升计划”（国家“2011计划”）、武书连大学排行榜前100位高校本科毕业一志愿考生5000元/生；奖励本校一志愿考生4000元/生；奖励其他一志愿考生3000元/生。</w:t>
            </w:r>
          </w:p>
          <w:p>
            <w:pPr>
              <w:adjustRightInd w:val="0"/>
              <w:snapToGrid w:val="0"/>
              <w:spacing w:line="360" w:lineRule="auto"/>
              <w:ind w:firstLine="480" w:firstLineChars="200"/>
              <w:rPr>
                <w:color w:val="FF0000"/>
                <w:sz w:val="24"/>
                <w:szCs w:val="24"/>
              </w:rPr>
            </w:pPr>
            <w:r>
              <w:rPr>
                <w:rFonts w:hint="eastAsia"/>
                <w:color w:val="FF0000"/>
                <w:sz w:val="24"/>
                <w:szCs w:val="24"/>
              </w:rPr>
              <w:t>除了学校奖助学金外，学位点还有如下奖助措施：</w:t>
            </w:r>
          </w:p>
          <w:p>
            <w:pPr>
              <w:autoSpaceDE w:val="0"/>
              <w:autoSpaceDN w:val="0"/>
              <w:adjustRightInd w:val="0"/>
              <w:spacing w:line="440" w:lineRule="exact"/>
              <w:ind w:firstLine="420"/>
              <w:rPr>
                <w:rFonts w:ascii="宋体" w:hAnsi="宋体" w:cs="仿宋_GB2312"/>
                <w:color w:val="FF0000"/>
                <w:kern w:val="0"/>
                <w:sz w:val="24"/>
                <w:lang w:val="zh-CN"/>
              </w:rPr>
            </w:pPr>
            <w:r>
              <w:rPr>
                <w:rFonts w:hint="eastAsia" w:ascii="宋体" w:hAnsi="宋体" w:cs="仿宋_GB2312"/>
                <w:color w:val="FF0000"/>
                <w:kern w:val="0"/>
                <w:sz w:val="24"/>
                <w:lang w:val="zh-CN"/>
              </w:rPr>
              <w:t>⑴实习：我校在德国、罗马尼亚、泰国、印度尼西亚等国建立多个实习基地，在校留学生1600多人。被我校录取的研究生有机会获得由对方提供相应待遇和往返路费的海外实习机会，未赴海外实习的我院研究生可在国内实习基地或校内实习，并由实习单位支付相当于外聘教师的课时费。</w:t>
            </w:r>
          </w:p>
          <w:p>
            <w:pPr>
              <w:autoSpaceDE w:val="0"/>
              <w:autoSpaceDN w:val="0"/>
              <w:adjustRightInd w:val="0"/>
              <w:spacing w:line="440" w:lineRule="exact"/>
              <w:ind w:firstLine="420"/>
              <w:rPr>
                <w:rFonts w:ascii="宋体" w:hAnsi="宋体" w:cs="宋体"/>
                <w:color w:val="FF0000"/>
                <w:kern w:val="0"/>
                <w:sz w:val="24"/>
              </w:rPr>
            </w:pPr>
          </w:p>
          <w:p>
            <w:pPr>
              <w:adjustRightInd w:val="0"/>
              <w:snapToGrid w:val="0"/>
              <w:spacing w:line="360" w:lineRule="auto"/>
              <w:ind w:firstLine="480" w:firstLineChars="200"/>
              <w:rPr>
                <w:color w:val="FF0000"/>
                <w:sz w:val="24"/>
                <w:szCs w:val="24"/>
              </w:rPr>
            </w:pPr>
            <w:r>
              <w:rPr>
                <w:rFonts w:hint="eastAsia" w:ascii="宋体" w:hAnsi="宋体" w:cs="宋体"/>
                <w:color w:val="FF0000"/>
                <w:kern w:val="0"/>
                <w:sz w:val="24"/>
              </w:rPr>
              <w:t>(2)</w:t>
            </w:r>
            <w:r>
              <w:rPr>
                <w:rFonts w:hint="eastAsia" w:ascii="宋体" w:hAnsi="宋体" w:cs="仿宋_GB2312"/>
                <w:color w:val="FF0000"/>
                <w:kern w:val="0"/>
                <w:sz w:val="24"/>
                <w:lang w:val="zh-CN"/>
              </w:rPr>
              <w:t>进修：我院研究生在校期间至少可享有一次由海外知名一线教学专家进行短期培训的机会，培训费由我院负担。</w:t>
            </w:r>
          </w:p>
          <w:p>
            <w:pPr>
              <w:adjustRightInd w:val="0"/>
              <w:snapToGrid w:val="0"/>
              <w:spacing w:line="360" w:lineRule="auto"/>
              <w:ind w:firstLine="482" w:firstLineChars="200"/>
              <w:rPr>
                <w:b/>
                <w:color w:val="000000" w:themeColor="text1"/>
                <w:sz w:val="24"/>
                <w:szCs w:val="24"/>
              </w:rPr>
            </w:pPr>
            <w:r>
              <w:rPr>
                <w:rFonts w:hint="eastAsia"/>
                <w:b/>
                <w:color w:val="000000" w:themeColor="text1"/>
                <w:sz w:val="24"/>
                <w:szCs w:val="24"/>
              </w:rPr>
              <w:t>2.内部质量保障机制</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上述文件和规章制度明确了研究生导师、任课教师和研究生的责任，使研究生考勤、考核、论文选题与指导、实习实践、论文答辩等教学活动规范有序进行。各门课程都有详细的教学计划、教学日历、课程教学大纲等。汉语国际教育硕士的学籍材料、考勤记录、成绩登记、教学质量评估记录、核心课程期末考卷等材料保存完备。</w:t>
            </w:r>
          </w:p>
          <w:p>
            <w:pPr>
              <w:adjustRightInd w:val="0"/>
              <w:snapToGrid w:val="0"/>
              <w:spacing w:line="360" w:lineRule="auto"/>
              <w:ind w:firstLine="482" w:firstLineChars="200"/>
              <w:rPr>
                <w:b/>
                <w:color w:val="000000" w:themeColor="text1"/>
                <w:sz w:val="24"/>
                <w:szCs w:val="24"/>
              </w:rPr>
            </w:pPr>
            <w:r>
              <w:rPr>
                <w:rFonts w:hint="eastAsia"/>
                <w:b/>
                <w:color w:val="000000" w:themeColor="text1"/>
                <w:sz w:val="24"/>
                <w:szCs w:val="24"/>
              </w:rPr>
              <w:t>3.设施与服务</w:t>
            </w:r>
          </w:p>
          <w:p>
            <w:pPr>
              <w:adjustRightInd w:val="0"/>
              <w:snapToGrid w:val="0"/>
              <w:spacing w:line="360" w:lineRule="auto"/>
              <w:ind w:firstLine="480" w:firstLineChars="200"/>
              <w:rPr>
                <w:color w:val="000000" w:themeColor="text1"/>
                <w:sz w:val="24"/>
                <w:szCs w:val="24"/>
              </w:rPr>
            </w:pPr>
            <w:r>
              <w:rPr>
                <w:rFonts w:hint="eastAsia"/>
                <w:color w:val="000000" w:themeColor="text1"/>
                <w:sz w:val="24"/>
                <w:szCs w:val="24"/>
              </w:rPr>
              <w:t>学位点建有专用资料室（图书室）一间，有汉语国际教育、语言学、文学、文化艺术、哲学等方面的藏书12000余册，期刊70余种，资料室环境优雅，有利于研究生查阅资料。有多媒体及网络教室21间，微格教室6间，完备的多媒体和网络教学设备，为学生和教师提供了良好的服务。</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七、学风建设</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（一）师德师风</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学位点的专任教师和研究生班主任都具有良好的师德师风，处处以身作则，引领同学们形成良好的思想道德，养成良好的班风学风；高度重视育人，在日常教学、指导实习和论文写作，以及班级管理中，处处为学生着想，充分体现“以生为本”教育理念。学位点负责人王建华教师</w:t>
            </w:r>
            <w:r>
              <w:rPr>
                <w:rFonts w:hint="eastAsia"/>
                <w:color w:val="000000" w:themeColor="text1"/>
                <w:sz w:val="24"/>
                <w:szCs w:val="24"/>
              </w:rPr>
              <w:t>曾获</w:t>
            </w:r>
            <w:r>
              <w:fldChar w:fldCharType="begin"/>
            </w:r>
            <w:r>
              <w:instrText xml:space="preserve"> HYPERLINK "https://baike.sogou.com/v451019.htm" \t "_blank" </w:instrText>
            </w:r>
            <w:r>
              <w:fldChar w:fldCharType="separate"/>
            </w:r>
            <w:r>
              <w:rPr>
                <w:color w:val="000000" w:themeColor="text1"/>
                <w:sz w:val="24"/>
                <w:szCs w:val="24"/>
              </w:rPr>
              <w:t>曾宪梓</w:t>
            </w:r>
            <w:r>
              <w:rPr>
                <w:color w:val="000000" w:themeColor="text1"/>
                <w:sz w:val="24"/>
                <w:szCs w:val="24"/>
              </w:rPr>
              <w:fldChar w:fldCharType="end"/>
            </w:r>
            <w:r>
              <w:rPr>
                <w:color w:val="000000" w:themeColor="text1"/>
                <w:sz w:val="24"/>
                <w:szCs w:val="24"/>
              </w:rPr>
              <w:t>师范教育教师三等奖</w:t>
            </w:r>
            <w:r>
              <w:rPr>
                <w:rFonts w:hint="eastAsia"/>
                <w:color w:val="000000" w:themeColor="text1"/>
                <w:sz w:val="24"/>
                <w:szCs w:val="24"/>
              </w:rPr>
              <w:t>；王彦章、陶绍清和俞燕君等老师曾获校“学生心目中的好老师”荣誉称号；班主任金素芳老师由于像知心姐姐一样关心学生的学习、生活和发展，被学生誉为“像太阳一样的老师”，总之，学位点的老师们都由于良好的师德师风，深受同学们的喜爱。在各位老师的言传身教下，研究生们形成了良好的</w:t>
            </w:r>
            <w:r>
              <w:rPr>
                <w:rFonts w:hint="eastAsia" w:ascii="Calibri" w:hAnsi="Calibri"/>
                <w:color w:val="000000" w:themeColor="text1"/>
                <w:sz w:val="24"/>
                <w:szCs w:val="24"/>
              </w:rPr>
              <w:t>思想道德。</w:t>
            </w:r>
          </w:p>
          <w:p>
            <w:pPr>
              <w:spacing w:line="360" w:lineRule="auto"/>
              <w:ind w:firstLine="482" w:firstLineChars="200"/>
              <w:rPr>
                <w:rFonts w:ascii="Times New Roman" w:hAnsi="宋体"/>
                <w:b/>
                <w:color w:val="000000" w:themeColor="text1"/>
                <w:sz w:val="24"/>
              </w:rPr>
            </w:pPr>
            <w:r>
              <w:rPr>
                <w:rFonts w:hint="eastAsia" w:ascii="Times New Roman" w:hAnsi="宋体"/>
                <w:b/>
                <w:color w:val="000000" w:themeColor="text1"/>
                <w:sz w:val="24"/>
              </w:rPr>
              <w:t>（二）学风</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我校非常重视研究生学风建设，主要有以下几方面举措：</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1.规章制度的保障</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学校贯彻落实国务院学位委员会《关于在学位授予工作中加强学术道德和学术规范建设的意见》的指示精神，在组织架构和文件制度方面加强师生的学风建设。校学术委员会检查和督促各学院的学术道德和学术规范，并负责处理学术不端行为；各学院也设有类似机构。学校研究生院官网转发《浙江省研究生基本学术规范》《</w:t>
            </w:r>
            <w:r>
              <w:fldChar w:fldCharType="begin"/>
            </w:r>
            <w:r>
              <w:instrText xml:space="preserve"> HYPERLINK "http://yjs.zust.edu.cn/__local/3/B9/AC/7B4978F47E3AE10AC59D37FD7E2_F1FD9EC8_9E00.doc?e=.doc" </w:instrText>
            </w:r>
            <w:r>
              <w:fldChar w:fldCharType="separate"/>
            </w:r>
            <w:r>
              <w:rPr>
                <w:rFonts w:hint="eastAsia" w:ascii="Calibri" w:hAnsi="Calibri"/>
                <w:color w:val="000000" w:themeColor="text1"/>
                <w:sz w:val="24"/>
                <w:szCs w:val="24"/>
              </w:rPr>
              <w:t>浙江省高等学校学术不端行为调查处理规程</w:t>
            </w:r>
            <w:r>
              <w:rPr>
                <w:rFonts w:hint="eastAsia" w:ascii="Calibri" w:hAnsi="Calibri"/>
                <w:color w:val="000000" w:themeColor="text1"/>
                <w:sz w:val="24"/>
                <w:szCs w:val="24"/>
              </w:rPr>
              <w:fldChar w:fldCharType="end"/>
            </w:r>
            <w:r>
              <w:rPr>
                <w:rFonts w:hint="eastAsia" w:ascii="Calibri" w:hAnsi="Calibri"/>
                <w:color w:val="000000" w:themeColor="text1"/>
                <w:sz w:val="24"/>
                <w:szCs w:val="24"/>
              </w:rPr>
              <w:t>》等文件，以敦促研究生遵守学术道德，同时，学校制订《浙江科技学院硕士学位授予工作实施细则》《浙江科技学院研究生学位论文评阅及答辩工作暂行规定》《浙江科技学院研究生学术道德规范（试行）》等文件，对学位论文或发表的论文有剽窃他人学术成果者，取消其学位申请资格；对学位论文进行严格的查重，重合率超过15%者，不予送审。另外，还出台《浙江科技学院研究生学位论文格式的统一要求（试行）》，强调学位论文的规范化和统一化。</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2.学术道德的宣讲</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为了让学术道德深入人心，学校还多次举办了关于学术道德的讲座进行宣讲。学校多次专门聘请院士给全校师生讲授师德师风和学术道德；2015年我校首届研究生入校伊始，学校利用研究生新生始业教育的时机，举办了《</w:t>
            </w:r>
            <w:r>
              <w:rPr>
                <w:rFonts w:hint="eastAsia"/>
                <w:color w:val="000000" w:themeColor="text1"/>
                <w:sz w:val="24"/>
                <w:szCs w:val="24"/>
              </w:rPr>
              <w:t>研究生始业教育第一课：科学道德与学风建设</w:t>
            </w:r>
            <w:r>
              <w:rPr>
                <w:rFonts w:hint="eastAsia" w:ascii="Calibri" w:hAnsi="Calibri"/>
                <w:color w:val="000000" w:themeColor="text1"/>
                <w:sz w:val="24"/>
                <w:szCs w:val="24"/>
              </w:rPr>
              <w:t>》讲座；学院也在随后的几天内给研究生们举办了有关学术规范和学术道德的讲座，之后几年一直沿袭这样的做法；我校研究院举办“硕彦讲坛”，专门邀请校长叶高翔教授为研究生做了《大学梦与优良学风建设》的讲座，呼吁广大研究生要培养自身高雅、卓越的气质，共同营造浙江科技学院严谨认真的学风。</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3.良好学风的营造</w:t>
            </w:r>
          </w:p>
          <w:p>
            <w:pPr>
              <w:adjustRightInd w:val="0"/>
              <w:snapToGrid w:val="0"/>
              <w:spacing w:line="360" w:lineRule="auto"/>
              <w:ind w:firstLine="480" w:firstLineChars="200"/>
              <w:rPr>
                <w:rFonts w:ascii="Calibri" w:hAnsi="Calibri"/>
                <w:color w:val="000000" w:themeColor="text1"/>
                <w:sz w:val="24"/>
                <w:szCs w:val="24"/>
              </w:rPr>
            </w:pPr>
            <w:r>
              <w:rPr>
                <w:rFonts w:hint="eastAsia" w:ascii="Calibri" w:hAnsi="Calibri"/>
                <w:color w:val="000000" w:themeColor="text1"/>
                <w:sz w:val="24"/>
                <w:szCs w:val="24"/>
              </w:rPr>
              <w:t>2015年首届研究生入学以来，学院领导、班主任和专业课教师都为营造良好学风出谋划策。利用上课、班会以及平时和研究生交谈等方式，鼓励研究生</w:t>
            </w:r>
            <w:r>
              <w:rPr>
                <w:rFonts w:hint="eastAsia" w:ascii="Calibri" w:hAnsi="Calibri"/>
                <w:color w:val="000000" w:themeColor="text1"/>
                <w:sz w:val="24"/>
                <w:szCs w:val="24"/>
                <w:lang w:eastAsia="zh-CN"/>
              </w:rPr>
              <w:t>努力</w:t>
            </w:r>
            <w:bookmarkStart w:id="79" w:name="_GoBack"/>
            <w:bookmarkEnd w:id="79"/>
            <w:r>
              <w:rPr>
                <w:rFonts w:hint="eastAsia" w:ascii="Calibri" w:hAnsi="Calibri"/>
                <w:color w:val="000000" w:themeColor="text1"/>
                <w:sz w:val="24"/>
                <w:szCs w:val="24"/>
              </w:rPr>
              <w:t>学习，争先创优，并及早做好职业规划。根据汉语国际教育学位点研究生多才多艺和外语较好等特点，在研究生中建立才艺和外语学习兴趣小组，由有某方面特长的研究生担任小老师，用互帮互助的形式让研究生们有更多的才艺学习和外语学习的机会，最终达到共同进步的目的。在师生的共同努力下，学位点的研究生们团结互助，学习风气浓厚，学习氛围良好，形成了你追我赶的学习势头，各门功课的合格率达到100%，专业课的优良率超过90%，15、16级研究生国际汉语教师资格证考取率达到30%，15级国家汉办志愿者考取率达到36%,16级国家汉办志愿者考取率达到34%。</w:t>
            </w:r>
          </w:p>
          <w:p>
            <w:pPr>
              <w:adjustRightInd w:val="0"/>
              <w:snapToGrid w:val="0"/>
              <w:spacing w:line="360" w:lineRule="auto"/>
              <w:ind w:firstLine="480" w:firstLineChars="200"/>
              <w:rPr>
                <w:rFonts w:ascii="仿宋_GB2312" w:hAnsi="仿宋" w:eastAsia="仿宋_GB2312" w:cs="黑体"/>
                <w:color w:val="000000" w:themeColor="text1"/>
                <w:sz w:val="32"/>
                <w:szCs w:val="32"/>
              </w:rPr>
            </w:pPr>
            <w:r>
              <w:rPr>
                <w:rFonts w:hint="eastAsia" w:ascii="Calibri" w:hAnsi="Calibri"/>
                <w:color w:val="000000" w:themeColor="text1"/>
                <w:sz w:val="24"/>
                <w:szCs w:val="24"/>
              </w:rPr>
              <w:t>总之，我校汉语国际教育学位点通过各种途径加强对师生学术诚信和学术规范等方面的教育，营造良好的学习风气，近3年来，本学科无一例学术不端行为；首届毕业生的学位论文，也全部通过合格检测。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295" w:type="dxa"/>
          </w:tcPr>
          <w:p>
            <w:pPr>
              <w:rPr>
                <w:rFonts w:ascii="仿宋_GB2312" w:hAnsi="仿宋" w:eastAsia="仿宋_GB2312" w:cs="黑体"/>
                <w:b/>
                <w:sz w:val="32"/>
                <w:szCs w:val="32"/>
              </w:rPr>
            </w:pPr>
            <w:r>
              <w:rPr>
                <w:rFonts w:hint="eastAsia" w:ascii="仿宋_GB2312" w:hAnsi="仿宋" w:eastAsia="仿宋_GB2312" w:cs="黑体"/>
                <w:b/>
                <w:sz w:val="32"/>
                <w:szCs w:val="32"/>
              </w:rPr>
              <w:t>办学特色与创新举措</w:t>
            </w:r>
          </w:p>
          <w:p>
            <w:pPr>
              <w:rPr>
                <w:rFonts w:ascii="仿宋_GB2312" w:hAnsi="仿宋" w:eastAsia="仿宋_GB2312" w:cs="黑体"/>
                <w:b/>
                <w:sz w:val="32"/>
                <w:szCs w:val="32"/>
              </w:rPr>
            </w:pPr>
          </w:p>
          <w:p>
            <w:pPr>
              <w:spacing w:line="360" w:lineRule="auto"/>
              <w:ind w:firstLine="482" w:firstLineChars="200"/>
              <w:rPr>
                <w:rFonts w:ascii="Times New Roman" w:hAnsi="Times New Roman"/>
                <w:b/>
                <w:sz w:val="24"/>
              </w:rPr>
            </w:pPr>
            <w:r>
              <w:rPr>
                <w:rFonts w:ascii="Times New Roman" w:hAnsi="宋体"/>
                <w:b/>
                <w:sz w:val="24"/>
              </w:rPr>
              <w:t>一、办学特色：</w:t>
            </w:r>
          </w:p>
          <w:p>
            <w:pPr>
              <w:spacing w:line="360" w:lineRule="auto"/>
              <w:ind w:firstLine="480" w:firstLineChars="200"/>
              <w:rPr>
                <w:sz w:val="24"/>
                <w:szCs w:val="24"/>
              </w:rPr>
            </w:pPr>
            <w:r>
              <w:rPr>
                <w:rFonts w:hint="eastAsia"/>
                <w:sz w:val="24"/>
                <w:szCs w:val="24"/>
              </w:rPr>
              <w:t xml:space="preserve">办学特色是人才培养活力和潜力的保证。凝练培育自己的培养特色，才能使本校的汉语国际教育硕士培养持续健康发展。浙江科技学院贯彻国家关于汉语国际教育师资人才培养的宗旨，根据全国汉语国际教育专业学位研究生教育指导委员会关于汉语国际教育专业硕士的培养目标，在汉语国际教育硕士专业学位的发展定位、管理机制、师资队伍建设、课程教学、实践环节、人才培养、管理和服务等方面进行了积极探索，经过 3年的建设发展，本学位点形成了如下特色： </w:t>
            </w:r>
          </w:p>
          <w:p>
            <w:pPr>
              <w:spacing w:line="360" w:lineRule="auto"/>
              <w:ind w:firstLine="482" w:firstLineChars="200"/>
              <w:rPr>
                <w:rFonts w:ascii="Times New Roman" w:hAnsi="宋体"/>
                <w:b/>
                <w:sz w:val="24"/>
              </w:rPr>
            </w:pPr>
            <w:r>
              <w:rPr>
                <w:rFonts w:hint="eastAsia" w:ascii="Times New Roman" w:hAnsi="宋体"/>
                <w:b/>
                <w:sz w:val="24"/>
              </w:rPr>
              <w:t>1.发挥学校特色，利用学校优势，博采众长，凸显国际化和应用性</w:t>
            </w:r>
          </w:p>
          <w:p>
            <w:pPr>
              <w:spacing w:line="360" w:lineRule="auto"/>
              <w:ind w:firstLine="480" w:firstLineChars="200"/>
              <w:rPr>
                <w:sz w:val="24"/>
                <w:szCs w:val="24"/>
              </w:rPr>
            </w:pPr>
            <w:r>
              <w:rPr>
                <w:rFonts w:hint="eastAsia"/>
                <w:sz w:val="24"/>
                <w:szCs w:val="24"/>
              </w:rPr>
              <w:t>浙江科技学院坚持“学以致用、全面发展”的育人理念，以培养具有实践能力、创新精神、国际素养和社会责任感的全面发展的高素质应用型人才为己任。学校是教育部确定的中德合作培养高等应用型人才试点院校，应用性是学校突出特色。学校多年来坚持走国际化办学之路，始终把国际交流与合作作为学校发展的重要战略，形成了鲜明的国际化办学特色。尤其是中德合作历史悠久，成果丰硕，是教育部确定的“中德论坛”基地建设单位，已成为浙江省乃至全国对德教育、科技、文化交流与合作的重要窗口。学校先后在罗马尼亚、德国合作建立2所海外孔子学院，其中罗马尼亚的克鲁日巴比什-波雅依大学孔子学院获评全球“先进孔子学院”。学校还是浙江省开设全英文授课国际化专业最多的高校之一，国际化总体水平位居浙江省高校前列，入选“浙江省国际化特色高校”首批建设单位，是教育部首批来华留学质量试点认证高校、国家留学基金委优秀本科生国际交流奖学金项目资助院校、国家留学基金委青年骨干教师出国研修项目资助院校和中国政府来华留学奖学金生招收院校。</w:t>
            </w:r>
          </w:p>
          <w:p>
            <w:pPr>
              <w:spacing w:line="360" w:lineRule="auto"/>
              <w:ind w:firstLine="480" w:firstLineChars="200"/>
              <w:rPr>
                <w:sz w:val="24"/>
                <w:szCs w:val="24"/>
              </w:rPr>
            </w:pPr>
            <w:r>
              <w:rPr>
                <w:rFonts w:hint="eastAsia"/>
                <w:sz w:val="24"/>
                <w:szCs w:val="24"/>
              </w:rPr>
              <w:t>浙江科技学院坚持应用型定位，彰显国际化特色。汉语国际教育专业硕士学科点凸显学校这两大特色，发挥学校应用型人才培养特点，利用学校国际化资源，在研究生的培养上注重教学能力和文化推广能力以及外语能力和海外实际工作能力的提高。汉语国际教育专业硕士是学科点所在学院人文与国际教育学院第一个也是目前唯一一个硕士授权专业，因而少受学术型硕士培养方式的影响。早在硕士点申报之初以及在培养过程中，都一直贯彻高层次、复合型、应用性、国际化的培养思路。学科点师资来自语言学及应用语言学、汉语言文字学、中国文学、中国文化、外国语言文学、教育学、心理学等相关学科，教师毕业于浙江大学、复旦大学、南京大学、中山大学、暨南大学、山东大学、华东师范大学、北京语言大学、中国社会科学院研究生院以及新加坡国立大学、香港城市大学、加拿大渥太华大学等境内外著名高校，学缘结构合理。学科负责人或学科骨干有些曾经在本学科授权单位如浙江大学、河北师范大学长期工作，甚至是这些单位汉语国际教育专业硕士点的申报和建设负责人，曾在2009年作为首批24所试点高校之一组织过本单位汉语国际教育专业学位研究生培养工作中期检查自查报告的撰写工作，或作为观摩团成员参加了汉语国际教育专业硕士24所试点院校的中期检查，因而对本专业硕士的培养方向与目标有比较深入的了解和认识，并有长期的管理经验和教学经验，发表过与汉语国际教育专业硕士建设相关的论文，这使得本学位点从一开始就站在了比较高的起点上，避免了以往有些学位点对本专业硕士高层次、应用型、复合型、国际化专门人才培养目标不明确，与学术型学位区别不明显等弊端。本学科点自2014年开始大量引进了不少高校的教学和管理人才，同时通过走访或邀请专家以及查阅网页等各种形式注重学习各本学位授权学科所在高校培养单位的先进办学经验，博采众长，并形成了自己的培养特色。不少学校的培养模式和培养方法都给了我们很大启发。</w:t>
            </w:r>
          </w:p>
          <w:p>
            <w:pPr>
              <w:spacing w:line="360" w:lineRule="auto"/>
              <w:ind w:firstLine="480" w:firstLineChars="200"/>
              <w:rPr>
                <w:sz w:val="24"/>
                <w:szCs w:val="24"/>
              </w:rPr>
            </w:pPr>
            <w:r>
              <w:rPr>
                <w:rFonts w:hint="eastAsia"/>
                <w:sz w:val="24"/>
                <w:szCs w:val="24"/>
              </w:rPr>
              <w:t>本学位点29位教师具有海外经历，熟悉海外汉语教学和中华文化推广工作，还有教师常年担任汉语国际教师志愿者和公派汉语教师考官，了解海外对汉语教师的需求。学位点自批准设立之初就邀请海外专家来校讲学，除每年一次长达5至6天的集中培训所聘请专家多为海外著名高校的知名教授外，我们还趁不少海外专家或海外教学机构负责人来华的的机会邀请到我校讲学或交流。学位点注重生源国际化，采取各种手段招收并培养海外学生。同时我们非常重视国内生的国际背景，凡是有海外志愿者经历或海外留学经历的生源同等条件下优先录取。本学位点课程设置、教学内容都注重联系国外汉语教学和文化推广实际，注重在国外拓展实习基地，所有这些都使学生具有很好的国际化视野，不少学生已在海外就业。</w:t>
            </w:r>
          </w:p>
          <w:p>
            <w:pPr>
              <w:spacing w:line="360" w:lineRule="auto"/>
              <w:ind w:firstLine="480" w:firstLineChars="200"/>
              <w:rPr>
                <w:sz w:val="24"/>
                <w:szCs w:val="24"/>
              </w:rPr>
            </w:pPr>
            <w:r>
              <w:rPr>
                <w:rFonts w:hint="eastAsia"/>
                <w:sz w:val="24"/>
                <w:szCs w:val="24"/>
              </w:rPr>
              <w:t>本学位点的课程设置以实际应用为导向，在教学方法方面，注重实效，在短时间内提升学生未来作为优秀国际汉语教师的综合能力和素质。教学实习由岗前见习环节和正式实习环节构成，每个环节都安排教师指导。学生实习在实习基地指导教师指导下独立授课，周课时少则十几节，多的达到二十几节，实习时间半年到一年。通过实习，学生的各种能力快速提高。</w:t>
            </w:r>
          </w:p>
          <w:p>
            <w:pPr>
              <w:spacing w:line="360" w:lineRule="auto"/>
              <w:ind w:firstLine="482" w:firstLineChars="200"/>
              <w:rPr>
                <w:rFonts w:ascii="Times New Roman" w:hAnsi="宋体"/>
                <w:b/>
                <w:sz w:val="24"/>
              </w:rPr>
            </w:pPr>
            <w:r>
              <w:rPr>
                <w:rFonts w:hint="eastAsia" w:ascii="Times New Roman" w:hAnsi="宋体"/>
                <w:b/>
                <w:sz w:val="24"/>
              </w:rPr>
              <w:t>2.使用案例教学，注重技能训练，提高学生教学能力</w:t>
            </w:r>
          </w:p>
          <w:p>
            <w:pPr>
              <w:spacing w:line="360" w:lineRule="auto"/>
              <w:ind w:firstLine="480" w:firstLineChars="200"/>
              <w:rPr>
                <w:sz w:val="24"/>
                <w:szCs w:val="24"/>
              </w:rPr>
            </w:pPr>
            <w:r>
              <w:rPr>
                <w:rFonts w:hint="eastAsia"/>
                <w:sz w:val="24"/>
                <w:szCs w:val="24"/>
              </w:rPr>
              <w:t>学生教学能力是汉语国际教育硕士培养的核心与关键。为达到这一目的，我们在课程设置和教学内容上，注重体现技能性，加大理论课程的实践环节，加大技能类课程的开设比重，教学结合案例。核心课程《</w:t>
            </w:r>
            <w:r>
              <w:rPr>
                <w:sz w:val="24"/>
                <w:szCs w:val="24"/>
              </w:rPr>
              <w:t>国外汉语课堂教学案例</w:t>
            </w:r>
            <w:r>
              <w:rPr>
                <w:rFonts w:hint="eastAsia"/>
                <w:sz w:val="24"/>
                <w:szCs w:val="24"/>
              </w:rPr>
              <w:t>》通过实际案例引导学生分析解决实际问题，并总结教学工作规律，其他课程如《汉语作为第二语言教学》《中华文化与传播》《跨文化交际》《汉语教材与教学资源》《课堂观察与实践》也大量使用案例，丰富课堂教学。教学案例主要来源于三个方面，一是教学参考书和网上资源，二是我校对外汉语教学录像，三是研究生教学实践视频。学位点鼓励教师采用案例教学，资料室购买了大量案例教学参考书和优秀教师教学录像，教师可以根据教学需要选用，不少教师还通过网络查找相关资源。为提高学校留学生汉语教学水平，学校要求平行班集体备课，教学管理人员不定期听课，部分课堂拍摄教学录像供集体备课讲评，这些教学录像有的也作为教学案例用在了研究生课堂教学中。而研究生实习结束上交的教学视频不少是海外课堂教学，因而就更有价值，对学生启发性也更强。</w:t>
            </w:r>
          </w:p>
          <w:p>
            <w:pPr>
              <w:spacing w:line="360" w:lineRule="auto"/>
              <w:ind w:firstLine="480" w:firstLineChars="200"/>
              <w:rPr>
                <w:rFonts w:asciiTheme="minorEastAsia" w:hAnsiTheme="minorEastAsia"/>
                <w:sz w:val="24"/>
                <w:szCs w:val="24"/>
              </w:rPr>
            </w:pPr>
            <w:r>
              <w:rPr>
                <w:rFonts w:hint="eastAsia"/>
                <w:sz w:val="24"/>
                <w:szCs w:val="24"/>
              </w:rPr>
              <w:t>学位点重视教学工作，正式实习前，校内安排</w:t>
            </w:r>
            <w:r>
              <w:rPr>
                <w:rFonts w:hint="eastAsia" w:asciiTheme="minorEastAsia" w:hAnsiTheme="minorEastAsia"/>
                <w:sz w:val="24"/>
                <w:szCs w:val="24"/>
              </w:rPr>
              <w:t>岗前见习环节，以听课、说课、模拟试讲为主。学生以志愿者身份赴海外实习或在我校实习基地实习，除教学工作外，还要承担文化推广、活动组织、学生管理等许多工作。这些工作既提高了学生的教学能力，还提高了学生组织管理能力。</w:t>
            </w:r>
            <w:r>
              <w:rPr>
                <w:rFonts w:hint="eastAsia"/>
                <w:sz w:val="24"/>
                <w:szCs w:val="24"/>
              </w:rPr>
              <w:t>学生实习活动结束，学科点组织实习验收，通过学生的实习教学录像和实习汇报等工作进行成绩评定并对学生教学和其他实习工作提出改进意见。学生教学实习相关材料存档，15级学生的教学录像有的已被任课教师作为教学案例运用于教学中。我们还计划利用学生实习汇报录像，建设汉语课堂教学案例库，充实课堂教学内容，加强课堂教学实战效果。</w:t>
            </w:r>
          </w:p>
          <w:p>
            <w:pPr>
              <w:spacing w:line="360" w:lineRule="auto"/>
              <w:ind w:firstLine="480" w:firstLineChars="200"/>
              <w:rPr>
                <w:sz w:val="24"/>
                <w:szCs w:val="24"/>
              </w:rPr>
            </w:pPr>
            <w:r>
              <w:rPr>
                <w:rFonts w:hint="eastAsia"/>
                <w:sz w:val="24"/>
                <w:szCs w:val="24"/>
              </w:rPr>
              <w:t>为提高专业硕士实践能力，凸显汉语国际教育专业的应用性特征，学校鼓励学生参加各类能提高实践能力的比赛、培训、学术研讨会，鼓励学生参加国家级、省级比赛，鼓励学生报名参加国家汉办汉语教师志愿者项目。2015至2018年，我校共有43人次以志愿者身份赴海外从事汉语教学工作。</w:t>
            </w:r>
          </w:p>
          <w:p>
            <w:pPr>
              <w:spacing w:line="360" w:lineRule="auto"/>
              <w:ind w:firstLine="482" w:firstLineChars="200"/>
              <w:rPr>
                <w:rFonts w:ascii="Times New Roman" w:hAnsi="宋体"/>
                <w:b/>
                <w:sz w:val="24"/>
              </w:rPr>
            </w:pPr>
            <w:r>
              <w:rPr>
                <w:rFonts w:hint="eastAsia" w:ascii="Times New Roman" w:hAnsi="宋体"/>
                <w:b/>
                <w:sz w:val="24"/>
              </w:rPr>
              <w:t>3.注重文化融合，丰富实践活动，提升学生文化能力</w:t>
            </w:r>
          </w:p>
          <w:p>
            <w:pPr>
              <w:spacing w:line="360" w:lineRule="auto"/>
              <w:ind w:firstLine="480" w:firstLineChars="200"/>
              <w:rPr>
                <w:sz w:val="24"/>
                <w:szCs w:val="24"/>
              </w:rPr>
            </w:pPr>
            <w:r>
              <w:rPr>
                <w:rFonts w:hint="eastAsia"/>
                <w:sz w:val="24"/>
                <w:szCs w:val="24"/>
              </w:rPr>
              <w:t>汉语国际教育硕士需要强调学生文化能力，包括中华文化传播能力，跨文化交际和跨文化教学能力。为培养中外文化兼通的能够胜任汉语教学工作、乐于进行中华文化传播并具备中华文化传播能力的高层次汉语教育人才，强化文化融通性。本学位点在中国学生与外国留学生的课程设置上，注重解读和传授中国思想文化，重视中国与外国文化对比，在对比的基础上理解中国文化、凸显中国文化，能将中国文化与本国文化进行融通交汇，打破文化隔阂，从而为执教汉语国际教育、传播中国文化奠定基础。学位点以专题讲座形式培养学生中国传统舞蹈、书法、绘画、手工等技能，使学生在大量实践课程中充分体会中国文化的精神与韵味，加深学生对中国文化的深入理解与认知。积极组织学生参加中华诗文诵读、中国短剧展演、中国文化知识竞赛、中国歌曲演唱会、中国梦征文比赛等多种文化活动，加强中国学生与外国留学生的文化交流与了解。这些丰富多彩、生动活泼的活动，不仅仅使学生深入了解、认识了中国文化，更使他们对中国、对中国文化产生了深深的眷恋之情，有了主动传播中华文化的意愿。</w:t>
            </w:r>
          </w:p>
          <w:p>
            <w:pPr>
              <w:spacing w:line="360" w:lineRule="auto"/>
              <w:ind w:firstLine="480" w:firstLineChars="200"/>
              <w:rPr>
                <w:sz w:val="24"/>
                <w:szCs w:val="24"/>
              </w:rPr>
            </w:pPr>
            <w:r>
              <w:rPr>
                <w:rFonts w:hint="eastAsia"/>
                <w:sz w:val="24"/>
                <w:szCs w:val="24"/>
              </w:rPr>
              <w:t>为提高人才培养融合性，本学位点部分课程中外学生同堂上课，中外学生加深了相互了解，也有助于提高学生对异国文化、教学状况的认知能力，从而实现了人才培养的融合。同时，加强学生互通交流，坚持交流实践生活化、日常化，把中国学生、外国留学生分成不同小组，积极定期开展群组学习、交流活动，提高语言能力、知识水平与实践能力，以达到了解对方国家文化、教育情况的目的，提高学生对异国文化的认知能力。作为课堂教学的补充，这些活动也有助于提高中外学生的跨文化交际能力。</w:t>
            </w:r>
          </w:p>
          <w:p>
            <w:pPr>
              <w:spacing w:line="360" w:lineRule="auto"/>
              <w:ind w:firstLine="480" w:firstLineChars="200"/>
              <w:rPr>
                <w:sz w:val="24"/>
                <w:szCs w:val="24"/>
              </w:rPr>
            </w:pPr>
            <w:r>
              <w:rPr>
                <w:rFonts w:hint="eastAsia"/>
                <w:sz w:val="24"/>
                <w:szCs w:val="24"/>
              </w:rPr>
              <w:t>课堂管理尤其是海外中小学课堂管理是本专业学生面临的重要问题。本学位点结合大量课堂教学案例，引导学生采取和谐沟通策略，恰当处理课堂问题行为，这都有助于学生跨文化教学能力的提高。</w:t>
            </w:r>
          </w:p>
          <w:p>
            <w:pPr>
              <w:spacing w:line="360" w:lineRule="auto"/>
              <w:ind w:firstLine="482" w:firstLineChars="200"/>
              <w:rPr>
                <w:sz w:val="24"/>
                <w:szCs w:val="24"/>
              </w:rPr>
            </w:pPr>
            <w:r>
              <w:rPr>
                <w:rFonts w:hint="eastAsia" w:ascii="Times New Roman" w:hAnsi="宋体"/>
                <w:b/>
                <w:sz w:val="24"/>
              </w:rPr>
              <w:t>二、创新举措：</w:t>
            </w:r>
            <w:r>
              <w:rPr>
                <w:rFonts w:hint="eastAsia"/>
                <w:sz w:val="24"/>
                <w:szCs w:val="24"/>
              </w:rPr>
              <w:t xml:space="preserve"> </w:t>
            </w:r>
          </w:p>
          <w:p>
            <w:pPr>
              <w:spacing w:line="360" w:lineRule="auto"/>
              <w:ind w:firstLine="482" w:firstLineChars="200"/>
              <w:rPr>
                <w:rFonts w:ascii="Times New Roman" w:hAnsi="宋体"/>
                <w:b/>
                <w:sz w:val="24"/>
              </w:rPr>
            </w:pPr>
            <w:r>
              <w:rPr>
                <w:rFonts w:hint="eastAsia" w:ascii="Times New Roman" w:hAnsi="宋体"/>
                <w:b/>
                <w:sz w:val="24"/>
              </w:rPr>
              <w:t>1.定期组织培训，提升师资水平</w:t>
            </w:r>
          </w:p>
          <w:p>
            <w:pPr>
              <w:spacing w:line="360" w:lineRule="auto"/>
              <w:ind w:firstLine="480" w:firstLineChars="200"/>
              <w:rPr>
                <w:sz w:val="24"/>
                <w:szCs w:val="24"/>
              </w:rPr>
            </w:pPr>
            <w:r>
              <w:rPr>
                <w:rFonts w:hint="eastAsia"/>
                <w:sz w:val="24"/>
                <w:szCs w:val="24"/>
              </w:rPr>
              <w:t>本学位点师资学科背景多样，原从事专业、研究方向也并不相同。多数教师具有较为丰富的汉语国际教育教学经验，但教学方法、教学手段也有需要提高和改进的余地，理论素养需要进一步提升，教学研究方法也需要深化，尤其是教师的博士硕士学位都是学术学位，对专业硕士学位的了解不够，对本学位的认识也都需要深化。因而，本学位点建立伊始，就着眼于教师对本学位高层次、应用型、复合型、国际化专门人才培养目标的认识，着眼于师生教学能力和研究能力的培养，定期组织汉语国际教育师资培训。学位点从2015年首届学生入学之前就举办汉语国际教育师资培训班，至今已连续举办了三届。通过培训使教师更新了教学理念，对以汉语作为第二语言的教学有了全新的认识。培训班所聘师资多来自海外，如美国的普林斯顿大学周质平教授、圣母大学朱永平教授、哥伦比亚大学刘乐宁教授、西北大学顾利程教授、加州大学戴维斯分校储诚志教授、南加州大学黄南松教授、日本爱知县立大学孙德坤教授、韩国成均馆大学李安东教授、香港中文大学冯胜利教授等知名专家。今年拟邀请的海外专家有美国斯坦福大学孙朝奋教授、美国欧柏林大学李恺教授、日本广岛修道大学郭春贵教授、日本神户外国语大学任鹰教授等。三期培训的主题分别为“汉语教学理论与方法”“汉语教学研究与方法”“汉语教学与文化传播”。这些集中培训活动从专业理论到课堂实践，从中华文化到跨文化交际，从教学方法到教学研究，从教学技巧到案例分析，各位专家、教师结合自身多年的成功经验，多层次多角度全方位地进行培训和指导。诸位专家内容丰富的讲座、培训开阔了本专业师资的专业眼界，拓展了他们的学术视野，提升了他们的专业素质。暑期培训活动还要求本校在校硕士生参加学习，此外，还有来自全国的汉语国际教育专业硕士和对外汉语教师，影响遍及海内外。</w:t>
            </w:r>
          </w:p>
          <w:p>
            <w:pPr>
              <w:spacing w:line="360" w:lineRule="auto"/>
              <w:ind w:firstLine="480" w:firstLineChars="200"/>
              <w:rPr>
                <w:sz w:val="24"/>
                <w:szCs w:val="24"/>
              </w:rPr>
            </w:pPr>
            <w:r>
              <w:rPr>
                <w:rFonts w:hint="eastAsia"/>
                <w:sz w:val="24"/>
                <w:szCs w:val="24"/>
              </w:rPr>
              <w:t>除每年暑期的集中培训外，我们还不定期邀请海内外汉语教学专家、文化名家、具备中华才艺技能人才来校授课传艺，除海外教学专家外，国内高校如北京大学、中国人民大学、北京师范大学、北京语言大学、中央民族大学、复旦大学、浙江大学、中山大学、暨南大学、华东师范大学、上海师范大学、上海外国语大学、浙江师范大学、浙江工业大学、杭州师范大学等高校的著名学者、知名一线教学专家都曾受邀来我校做有关语言文化研究和教学的讲座。这些讲座活动根据内容、主题，要求研究生导师或在校生参加。通过参加上述活动，教师的教学科研能力得到了提升，学生的实际工作能力也得到了加强。</w:t>
            </w:r>
          </w:p>
          <w:p>
            <w:pPr>
              <w:spacing w:line="360" w:lineRule="auto"/>
              <w:ind w:firstLine="482" w:firstLineChars="200"/>
              <w:rPr>
                <w:rFonts w:ascii="Times New Roman" w:hAnsi="宋体"/>
                <w:b/>
                <w:sz w:val="24"/>
              </w:rPr>
            </w:pPr>
            <w:r>
              <w:rPr>
                <w:rFonts w:hint="eastAsia" w:ascii="Times New Roman" w:hAnsi="宋体"/>
                <w:b/>
                <w:sz w:val="24"/>
              </w:rPr>
              <w:t>2.建设实习基地，提高学生能力</w:t>
            </w:r>
          </w:p>
          <w:p>
            <w:pPr>
              <w:spacing w:line="360" w:lineRule="auto"/>
              <w:ind w:firstLine="480" w:firstLineChars="200"/>
              <w:rPr>
                <w:sz w:val="24"/>
                <w:szCs w:val="24"/>
              </w:rPr>
            </w:pPr>
            <w:r>
              <w:rPr>
                <w:rFonts w:hint="eastAsia"/>
                <w:sz w:val="24"/>
                <w:szCs w:val="24"/>
              </w:rPr>
              <w:t>教育实习是汉语国际教育硕士专业学位研究生必修的专业重点课程，它是促进理论联系实际、培养实践能力的一个必需环节。派遣国内研究生赴海外进行教学实习是培养汉语国际教育硕士研究生良好的汉语教学能力，跨文化交际能力，社会适应能力的一个重要途径。我校针对专业学位强调实践性培养特点，在课程教学方面加强研究生实践能力的培养，大力推进研究生实习基地建设，派遣研究生赴实习基地进行实习。</w:t>
            </w:r>
          </w:p>
          <w:p>
            <w:pPr>
              <w:spacing w:line="360" w:lineRule="auto"/>
              <w:ind w:firstLine="480" w:firstLineChars="200"/>
              <w:rPr>
                <w:sz w:val="24"/>
                <w:szCs w:val="24"/>
              </w:rPr>
            </w:pPr>
            <w:r>
              <w:rPr>
                <w:rFonts w:hint="eastAsia"/>
                <w:sz w:val="24"/>
                <w:szCs w:val="24"/>
              </w:rPr>
              <w:t>我校鼓励学生积极赴海外进行实习，鼓励学生报考国家汉办汉语教师志愿者，选择我校或其他孔子学院以普通志愿者身份赴海外实习。此外，我们还在海内外汉语教学机构建有一定数量的实习基地，这些实习基地基本能满足我校研究生从事汉语教学工作的需要。我校两所孔子学院</w:t>
            </w:r>
            <w:r>
              <w:rPr>
                <w:rFonts w:hint="eastAsia" w:asciiTheme="minorEastAsia" w:hAnsiTheme="minorEastAsia" w:cstheme="minorEastAsia"/>
                <w:kern w:val="0"/>
                <w:sz w:val="24"/>
                <w:szCs w:val="24"/>
              </w:rPr>
              <w:t>罗马尼亚克鲁日大学孔子学院和德国埃尔福特应用科技大学孔子学院作为我校研究生实习基地2016年开始即接收我校研究生进行教学实习，</w:t>
            </w:r>
            <w:r>
              <w:rPr>
                <w:rFonts w:hint="eastAsia"/>
                <w:sz w:val="24"/>
                <w:szCs w:val="24"/>
              </w:rPr>
              <w:t>截至2018年6月，我校共向罗马尼亚克鲁日孔院派遣13名研究生，向德国埃尔福特派遣2名研究生从事汉语教学及相关工作。</w:t>
            </w:r>
            <w:r>
              <w:rPr>
                <w:rFonts w:hint="eastAsia" w:asciiTheme="minorEastAsia" w:hAnsiTheme="minorEastAsia" w:cstheme="minorEastAsia"/>
                <w:kern w:val="0"/>
                <w:sz w:val="24"/>
                <w:szCs w:val="24"/>
              </w:rPr>
              <w:t>此外，我们还与</w:t>
            </w:r>
            <w:r>
              <w:rPr>
                <w:rFonts w:hint="eastAsia"/>
                <w:sz w:val="24"/>
                <w:szCs w:val="24"/>
              </w:rPr>
              <w:t>印度尼西亚八华学校和泰国泰中华文教育基金会等签署了汉语国际教育硕士研究生海外实习基地合作协议，实施校际合作的汉语国际教育硕士研究生海外实习模式。截至2018年6月，我校共向印尼八华学校派遣16名研究生，向泰国派遣9名研究生从事汉语教学工作。最近我们还将与泰国苏梅岛职业学校签署合作协议并在今年下半年派遣至少3名17级研究生前去实习。</w:t>
            </w:r>
          </w:p>
          <w:p>
            <w:pPr>
              <w:spacing w:line="360" w:lineRule="auto"/>
              <w:ind w:firstLine="480" w:firstLineChars="200"/>
              <w:rPr>
                <w:sz w:val="24"/>
                <w:szCs w:val="24"/>
              </w:rPr>
            </w:pPr>
            <w:r>
              <w:rPr>
                <w:rFonts w:hint="eastAsia"/>
                <w:sz w:val="24"/>
                <w:szCs w:val="24"/>
              </w:rPr>
              <w:t>除海外教学基地外，我们还积极拓展途径，分别在东华大学、浙江越秀外国语学院、义乌工商职业学院、浙江旅游职业技术学院、嘉兴二十一世纪外国语学校、杭州上海世界外国语学校等建设实习基地，每年均根据对方需求派遣在校研究生赴这些单位实习。这些单位为研究生布置教学及其他工作并安排实习指导老师。学科点所在学院领导和教师也经常到这些学校看望实习学生，指导教学工作，与实习点研究解决学生实习中出现的问题。根据学生意愿，学科点还安排一部分学生在本校参加实习工作。在校实习的，学科点指导会更为具体。学科点直接安排实习指导教师，要求学生参加集体备课，集体听评课。</w:t>
            </w:r>
          </w:p>
          <w:p>
            <w:pPr>
              <w:spacing w:line="360" w:lineRule="auto"/>
              <w:ind w:firstLine="480" w:firstLineChars="200"/>
              <w:rPr>
                <w:sz w:val="24"/>
                <w:szCs w:val="24"/>
              </w:rPr>
            </w:pPr>
            <w:r>
              <w:rPr>
                <w:rFonts w:hint="eastAsia"/>
                <w:sz w:val="24"/>
                <w:szCs w:val="24"/>
              </w:rPr>
              <w:t>学生实习活动结束，学科点组织实习验收，通过学生的实习教学录像和实习汇报等工作进行成绩评定并对学生教学和其他实习工作提出改进意见。这些活动及实习安排，使学生在课程学习的基础上，教学能力也得到了极大地提升。</w:t>
            </w:r>
          </w:p>
          <w:p>
            <w:pPr>
              <w:spacing w:line="360" w:lineRule="auto"/>
              <w:ind w:firstLine="482" w:firstLineChars="200"/>
              <w:rPr>
                <w:rFonts w:ascii="Times New Roman" w:hAnsi="宋体"/>
                <w:b/>
                <w:sz w:val="24"/>
              </w:rPr>
            </w:pPr>
            <w:r>
              <w:rPr>
                <w:rFonts w:hint="eastAsia" w:ascii="Times New Roman" w:hAnsi="宋体"/>
                <w:b/>
                <w:sz w:val="24"/>
              </w:rPr>
              <w:t>3.满足学生需求，定向培养人才</w:t>
            </w:r>
          </w:p>
          <w:p>
            <w:pPr>
              <w:spacing w:line="360" w:lineRule="auto"/>
              <w:ind w:firstLine="480" w:firstLineChars="200"/>
              <w:rPr>
                <w:sz w:val="24"/>
                <w:szCs w:val="24"/>
              </w:rPr>
            </w:pPr>
            <w:r>
              <w:rPr>
                <w:rFonts w:hint="eastAsia"/>
                <w:sz w:val="24"/>
                <w:szCs w:val="24"/>
              </w:rPr>
              <w:t>国际化是我校重要特点，建校之初就确定了应用型、国际化的办学思路。学校留学生人数逐年提高，目前学校国际化排名省内前五，全国也在前列，留学生人数是其中的一个重要方面。学校重视研究生培养质量，外国留学生有单独培养方案，面向中外学生开设的课程有同有异，中外学生相同的课程，如文化交际类课程，部分选修课程，中外学生同堂上课，语言提高类课程，多数必修课程则分别开设。留学研究生导师，要求具备海外经历的教师担任。此外，我们还充分利用孔子学院奖学金、浙江省留学生奖学金等政策外，还制定了多种措施，如减免学生学费，免住宿费等招收留学研究生，因而外国留学生生源数量多，质量好。研究生培养单位对留学生进行严格审核，既考虑重点国家（合作孔子学院和有校际协议所在国），也考虑生源分布的广泛性，尤其是重点考虑一带一路国家。从2015到2017年，留学研究生人数分别为3，5，10人。由于今年奖学金种类增加，数额加大，有意向报名人数已突破20人。</w:t>
            </w:r>
          </w:p>
          <w:p>
            <w:pPr>
              <w:spacing w:line="360" w:lineRule="auto"/>
              <w:ind w:firstLine="480" w:firstLineChars="200"/>
              <w:rPr>
                <w:sz w:val="24"/>
                <w:szCs w:val="24"/>
              </w:rPr>
            </w:pPr>
            <w:r>
              <w:rPr>
                <w:sz w:val="24"/>
                <w:szCs w:val="24"/>
              </w:rPr>
              <w:t>由于我校研究生实习</w:t>
            </w:r>
            <w:r>
              <w:rPr>
                <w:rFonts w:hint="eastAsia"/>
                <w:sz w:val="24"/>
                <w:szCs w:val="24"/>
              </w:rPr>
              <w:t>多</w:t>
            </w:r>
            <w:r>
              <w:rPr>
                <w:sz w:val="24"/>
                <w:szCs w:val="24"/>
              </w:rPr>
              <w:t>集中在罗马尼亚</w:t>
            </w:r>
            <w:r>
              <w:rPr>
                <w:rFonts w:hint="eastAsia"/>
                <w:sz w:val="24"/>
                <w:szCs w:val="24"/>
              </w:rPr>
              <w:t>、</w:t>
            </w:r>
            <w:r>
              <w:rPr>
                <w:sz w:val="24"/>
                <w:szCs w:val="24"/>
              </w:rPr>
              <w:t>德国</w:t>
            </w:r>
            <w:r>
              <w:rPr>
                <w:rFonts w:hint="eastAsia"/>
                <w:sz w:val="24"/>
                <w:szCs w:val="24"/>
              </w:rPr>
              <w:t>、</w:t>
            </w:r>
            <w:r>
              <w:rPr>
                <w:sz w:val="24"/>
                <w:szCs w:val="24"/>
              </w:rPr>
              <w:t>印度尼西亚</w:t>
            </w:r>
            <w:r>
              <w:rPr>
                <w:rFonts w:hint="eastAsia"/>
                <w:sz w:val="24"/>
                <w:szCs w:val="24"/>
              </w:rPr>
              <w:t>、</w:t>
            </w:r>
            <w:r>
              <w:rPr>
                <w:sz w:val="24"/>
                <w:szCs w:val="24"/>
              </w:rPr>
              <w:t>泰国等国</w:t>
            </w:r>
            <w:r>
              <w:rPr>
                <w:rFonts w:hint="eastAsia"/>
                <w:sz w:val="24"/>
                <w:szCs w:val="24"/>
              </w:rPr>
              <w:t>，</w:t>
            </w:r>
            <w:r>
              <w:rPr>
                <w:sz w:val="24"/>
                <w:szCs w:val="24"/>
              </w:rPr>
              <w:t>外籍研究生这些国家也比较多</w:t>
            </w:r>
            <w:r>
              <w:rPr>
                <w:rFonts w:hint="eastAsia"/>
                <w:sz w:val="24"/>
                <w:szCs w:val="24"/>
              </w:rPr>
              <w:t>，</w:t>
            </w:r>
            <w:r>
              <w:rPr>
                <w:sz w:val="24"/>
                <w:szCs w:val="24"/>
              </w:rPr>
              <w:t>因而</w:t>
            </w:r>
            <w:r>
              <w:rPr>
                <w:rFonts w:hint="eastAsia"/>
                <w:sz w:val="24"/>
                <w:szCs w:val="24"/>
              </w:rPr>
              <w:t>更</w:t>
            </w:r>
            <w:r>
              <w:rPr>
                <w:sz w:val="24"/>
                <w:szCs w:val="24"/>
              </w:rPr>
              <w:t>注重对这些国家的定向链接培养</w:t>
            </w:r>
            <w:r>
              <w:rPr>
                <w:rFonts w:hint="eastAsia"/>
                <w:sz w:val="24"/>
                <w:szCs w:val="24"/>
              </w:rPr>
              <w:t>。</w:t>
            </w:r>
            <w:r>
              <w:rPr>
                <w:sz w:val="24"/>
                <w:szCs w:val="24"/>
              </w:rPr>
              <w:t>目前采取的主要措施</w:t>
            </w:r>
            <w:r>
              <w:rPr>
                <w:rFonts w:hint="eastAsia"/>
                <w:sz w:val="24"/>
                <w:szCs w:val="24"/>
              </w:rPr>
              <w:t>主要</w:t>
            </w:r>
            <w:r>
              <w:rPr>
                <w:sz w:val="24"/>
                <w:szCs w:val="24"/>
              </w:rPr>
              <w:t>是邀请我校孔子学院历任院长不定期做相关国家汉语教学尤其是中小学汉语教学的讲座</w:t>
            </w:r>
            <w:r>
              <w:rPr>
                <w:rFonts w:hint="eastAsia"/>
                <w:sz w:val="24"/>
                <w:szCs w:val="24"/>
              </w:rPr>
              <w:t>，另外</w:t>
            </w:r>
            <w:r>
              <w:rPr>
                <w:sz w:val="24"/>
                <w:szCs w:val="24"/>
              </w:rPr>
              <w:t>我们趁相关国家学校的招聘负责人来我校招聘的时候与学生座谈</w:t>
            </w:r>
            <w:r>
              <w:rPr>
                <w:rFonts w:hint="eastAsia"/>
                <w:sz w:val="24"/>
                <w:szCs w:val="24"/>
              </w:rPr>
              <w:t>，</w:t>
            </w:r>
            <w:r>
              <w:rPr>
                <w:sz w:val="24"/>
                <w:szCs w:val="24"/>
              </w:rPr>
              <w:t>介绍合作院校及当地中文教学情况</w:t>
            </w:r>
            <w:r>
              <w:rPr>
                <w:rFonts w:hint="eastAsia"/>
                <w:sz w:val="24"/>
                <w:szCs w:val="24"/>
              </w:rPr>
              <w:t>，</w:t>
            </w:r>
            <w:r>
              <w:rPr>
                <w:sz w:val="24"/>
                <w:szCs w:val="24"/>
              </w:rPr>
              <w:t>以使学生对赴任国有更多的了解</w:t>
            </w:r>
            <w:r>
              <w:rPr>
                <w:rFonts w:hint="eastAsia"/>
                <w:sz w:val="24"/>
                <w:szCs w:val="24"/>
              </w:rPr>
              <w:t>。</w:t>
            </w:r>
            <w:r>
              <w:rPr>
                <w:sz w:val="24"/>
                <w:szCs w:val="24"/>
              </w:rPr>
              <w:t>同时</w:t>
            </w:r>
            <w:r>
              <w:rPr>
                <w:rFonts w:hint="eastAsia"/>
                <w:sz w:val="24"/>
                <w:szCs w:val="24"/>
              </w:rPr>
              <w:t>，</w:t>
            </w:r>
            <w:r>
              <w:rPr>
                <w:sz w:val="24"/>
                <w:szCs w:val="24"/>
              </w:rPr>
              <w:t>我们还组织对这些国家有兴趣的研究生与相关国家留学生</w:t>
            </w:r>
            <w:r>
              <w:rPr>
                <w:rFonts w:hint="eastAsia"/>
                <w:sz w:val="24"/>
                <w:szCs w:val="24"/>
              </w:rPr>
              <w:t>（包括研究生、本科生和语言进修生）</w:t>
            </w:r>
            <w:r>
              <w:rPr>
                <w:sz w:val="24"/>
                <w:szCs w:val="24"/>
              </w:rPr>
              <w:t>进行座谈</w:t>
            </w:r>
            <w:r>
              <w:rPr>
                <w:rFonts w:hint="eastAsia"/>
                <w:sz w:val="24"/>
                <w:szCs w:val="24"/>
              </w:rPr>
              <w:t>、</w:t>
            </w:r>
            <w:r>
              <w:rPr>
                <w:sz w:val="24"/>
                <w:szCs w:val="24"/>
              </w:rPr>
              <w:t>联谊等活动</w:t>
            </w:r>
            <w:r>
              <w:rPr>
                <w:rFonts w:hint="eastAsia"/>
                <w:sz w:val="24"/>
                <w:szCs w:val="24"/>
              </w:rPr>
              <w:t>，</w:t>
            </w:r>
            <w:r>
              <w:rPr>
                <w:sz w:val="24"/>
                <w:szCs w:val="24"/>
              </w:rPr>
              <w:t>这些活动既加深了我校研究生对这些国家的了解</w:t>
            </w:r>
            <w:r>
              <w:rPr>
                <w:rFonts w:hint="eastAsia"/>
                <w:sz w:val="24"/>
                <w:szCs w:val="24"/>
              </w:rPr>
              <w:t>，也通过实际交往提高了学生的跨文化交际意识和能力。</w:t>
            </w:r>
          </w:p>
          <w:p>
            <w:pPr>
              <w:spacing w:line="360" w:lineRule="auto"/>
              <w:ind w:firstLine="480" w:firstLineChars="200"/>
              <w:rPr>
                <w:rFonts w:ascii="仿宋_GB2312" w:hAnsi="仿宋" w:eastAsia="仿宋_GB2312" w:cs="黑体"/>
                <w:sz w:val="32"/>
                <w:szCs w:val="32"/>
              </w:rPr>
            </w:pPr>
            <w:r>
              <w:rPr>
                <w:rFonts w:hint="eastAsia"/>
                <w:sz w:val="24"/>
                <w:szCs w:val="24"/>
              </w:rPr>
              <w:t>学位点以本专业人才的培养目标为依据，支持学生赴国外实习或从事汉语教学工作。学校根据学生的实际情况和需求，对在海外的学生进行网络开题和论文答辩。对这些学生只提供便利条件，不降低要求。</w:t>
            </w:r>
            <w:r>
              <w:rPr>
                <w:rFonts w:hint="eastAsia" w:ascii="Times New Roman" w:hAnsi="宋体"/>
                <w:sz w:val="24"/>
                <w:szCs w:val="24"/>
              </w:rPr>
              <w:t>学位</w:t>
            </w:r>
            <w:r>
              <w:rPr>
                <w:rFonts w:ascii="Times New Roman" w:hAnsi="宋体"/>
                <w:sz w:val="24"/>
                <w:szCs w:val="24"/>
              </w:rPr>
              <w:t>点严把学位论文关，培养学生的研究、创新能力。选题要求紧密结合汉语国际教育实践</w:t>
            </w:r>
            <w:r>
              <w:rPr>
                <w:rFonts w:hint="eastAsia" w:ascii="Times New Roman" w:hAnsi="宋体"/>
                <w:sz w:val="24"/>
                <w:szCs w:val="24"/>
              </w:rPr>
              <w:t>，鼓励学生选取教学实习尤其是海外实习中碰到的实际问题作为研究选题，要求选题</w:t>
            </w:r>
            <w:r>
              <w:rPr>
                <w:rFonts w:ascii="Times New Roman" w:hAnsi="宋体"/>
                <w:sz w:val="24"/>
                <w:szCs w:val="24"/>
              </w:rPr>
              <w:t>须具有明确的汉语国际教育背景和应用价值</w:t>
            </w:r>
            <w:r>
              <w:rPr>
                <w:rFonts w:hint="eastAsia" w:ascii="Times New Roman" w:hAnsi="宋体"/>
                <w:sz w:val="24"/>
                <w:szCs w:val="24"/>
              </w:rPr>
              <w:t>，</w:t>
            </w:r>
            <w:r>
              <w:rPr>
                <w:rFonts w:ascii="Times New Roman" w:hAnsi="宋体"/>
                <w:sz w:val="24"/>
                <w:szCs w:val="24"/>
              </w:rPr>
              <w:t>既要与汉语国际教育密切相关，又要有足够的创新</w:t>
            </w:r>
            <w:r>
              <w:rPr>
                <w:rFonts w:hint="eastAsia" w:ascii="Times New Roman" w:hAnsi="宋体"/>
                <w:sz w:val="24"/>
                <w:szCs w:val="24"/>
              </w:rPr>
              <w:t>。</w:t>
            </w:r>
            <w:r>
              <w:rPr>
                <w:rFonts w:ascii="Times New Roman" w:hAnsi="宋体"/>
                <w:sz w:val="24"/>
                <w:szCs w:val="24"/>
              </w:rPr>
              <w:t>论文形式提倡实证研究</w:t>
            </w:r>
            <w:r>
              <w:rPr>
                <w:rFonts w:hint="eastAsia" w:ascii="Times New Roman" w:hAnsi="宋体"/>
                <w:sz w:val="24"/>
                <w:szCs w:val="24"/>
              </w:rPr>
              <w:t>，</w:t>
            </w:r>
            <w:r>
              <w:rPr>
                <w:rFonts w:ascii="Times New Roman" w:hAnsi="宋体"/>
                <w:sz w:val="24"/>
                <w:szCs w:val="24"/>
              </w:rPr>
              <w:t>鼓励以调研报告</w:t>
            </w:r>
            <w:r>
              <w:rPr>
                <w:rFonts w:hint="eastAsia" w:ascii="Times New Roman" w:hAnsi="宋体"/>
                <w:sz w:val="24"/>
                <w:szCs w:val="24"/>
              </w:rPr>
              <w:t>、</w:t>
            </w:r>
            <w:r>
              <w:rPr>
                <w:rFonts w:ascii="Times New Roman" w:hAnsi="宋体"/>
                <w:sz w:val="24"/>
                <w:szCs w:val="24"/>
              </w:rPr>
              <w:t>教学设计</w:t>
            </w:r>
            <w:r>
              <w:rPr>
                <w:rFonts w:hint="eastAsia" w:ascii="Times New Roman" w:hAnsi="宋体"/>
                <w:sz w:val="24"/>
                <w:szCs w:val="24"/>
              </w:rPr>
              <w:t>、</w:t>
            </w:r>
            <w:r>
              <w:rPr>
                <w:rFonts w:ascii="Times New Roman" w:hAnsi="宋体"/>
                <w:sz w:val="24"/>
                <w:szCs w:val="24"/>
              </w:rPr>
              <w:t>教学实验</w:t>
            </w:r>
            <w:r>
              <w:rPr>
                <w:rFonts w:hint="eastAsia" w:ascii="Times New Roman" w:hAnsi="宋体"/>
                <w:sz w:val="24"/>
                <w:szCs w:val="24"/>
              </w:rPr>
              <w:t>、</w:t>
            </w:r>
            <w:r>
              <w:rPr>
                <w:rFonts w:ascii="Times New Roman" w:hAnsi="宋体"/>
                <w:sz w:val="24"/>
                <w:szCs w:val="24"/>
              </w:rPr>
              <w:t>案例分析等形式撰写学位论文。这样严格要求，不仅保证了学位论文质量，而且提高了学生的研究、创新能力。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8295" w:type="dxa"/>
          </w:tcPr>
          <w:p>
            <w:pPr>
              <w:rPr>
                <w:rFonts w:ascii="仿宋_GB2312" w:hAnsi="仿宋" w:eastAsia="仿宋_GB2312" w:cs="黑体"/>
                <w:sz w:val="32"/>
                <w:szCs w:val="32"/>
              </w:rPr>
            </w:pPr>
          </w:p>
          <w:p>
            <w:pPr>
              <w:rPr>
                <w:rFonts w:ascii="仿宋_GB2312" w:hAnsi="仿宋" w:eastAsia="仿宋_GB2312" w:cs="黑体"/>
                <w:b/>
                <w:sz w:val="32"/>
                <w:szCs w:val="32"/>
              </w:rPr>
            </w:pPr>
            <w:r>
              <w:rPr>
                <w:rFonts w:hint="eastAsia" w:ascii="仿宋_GB2312" w:hAnsi="仿宋" w:eastAsia="仿宋_GB2312" w:cs="黑体"/>
                <w:b/>
                <w:sz w:val="32"/>
                <w:szCs w:val="32"/>
              </w:rPr>
              <w:t>发展方向与计划</w:t>
            </w:r>
          </w:p>
          <w:p>
            <w:pPr>
              <w:spacing w:line="360" w:lineRule="auto"/>
              <w:ind w:firstLine="482" w:firstLineChars="200"/>
              <w:rPr>
                <w:rFonts w:ascii="Times New Roman" w:hAnsi="宋体"/>
                <w:b/>
                <w:sz w:val="24"/>
              </w:rPr>
            </w:pPr>
          </w:p>
          <w:p>
            <w:pPr>
              <w:spacing w:line="360" w:lineRule="auto"/>
              <w:ind w:firstLine="482" w:firstLineChars="200"/>
              <w:rPr>
                <w:rFonts w:ascii="Times New Roman" w:hAnsi="宋体"/>
                <w:b/>
                <w:sz w:val="24"/>
              </w:rPr>
            </w:pPr>
            <w:r>
              <w:rPr>
                <w:rFonts w:hint="eastAsia" w:ascii="Times New Roman" w:hAnsi="宋体"/>
                <w:b/>
                <w:sz w:val="24"/>
              </w:rPr>
              <w:t>一、保证考生来源和培养质量，加大特定对象国汉语教师培养比例</w:t>
            </w:r>
          </w:p>
          <w:p>
            <w:pPr>
              <w:spacing w:line="360" w:lineRule="auto"/>
              <w:ind w:firstLine="480" w:firstLineChars="200"/>
              <w:rPr>
                <w:sz w:val="24"/>
                <w:szCs w:val="24"/>
              </w:rPr>
            </w:pPr>
            <w:r>
              <w:rPr>
                <w:rFonts w:hint="eastAsia"/>
                <w:sz w:val="24"/>
                <w:szCs w:val="24"/>
              </w:rPr>
              <w:t>我校尽管招生人数不少，但一志愿报考人数和合格人数均偏低，今后我们将切实加强工作，提高一志愿国内生报考人数，做好汉语国际教育硕士招生宣传工作，通过报告讲座等形式吸引校内外汉语言文学专业、外语专业、教育学专业等相关领域的本科生报考。同时我们将进一步加强与海外各类学校的联系，获得他们对招收外籍汉语国际教育硕士的帮助，充分利用各类奖学金，扩大留学研究生的招生数量，不断提高生源质量。</w:t>
            </w:r>
          </w:p>
          <w:p>
            <w:pPr>
              <w:spacing w:line="360" w:lineRule="auto"/>
              <w:ind w:firstLine="480" w:firstLineChars="200"/>
              <w:rPr>
                <w:sz w:val="24"/>
                <w:szCs w:val="24"/>
              </w:rPr>
            </w:pPr>
            <w:r>
              <w:rPr>
                <w:rFonts w:hint="eastAsia"/>
                <w:sz w:val="24"/>
                <w:szCs w:val="24"/>
              </w:rPr>
              <w:t>我校现在罗马尼亚、德国建有两所孔子学院，同时在印度尼西亚、泰国建有实习基地，并与美国、韩国、日本等国家教育机构有比较广泛的联系。我们将进一步加强我校两所孔子学院和其他实习基地的联系，根据其需求，适当调整本学位点生源结构和培养方式，比如动员并吸收德语专业、英语以及其他外语专业或德语、英语以及其他外语基础好的学生报考本专业，外籍学生则注重其生源地的广泛性和汉语基础。学生入学后，我们将根据培养方案，不断优化课程体系，实现核心课程、拓展课程和训练课程的有机结合，灵活运用案例分析、模拟训练等方法，着重提高汉语国际教育硕士的教学技能和适应能力。通过丰富、灵活、针对性强、突出应用的课程设置实现汉语国际教育硕士高层次、应用型、复合型、国际化的国际汉语教学人才培养目标。</w:t>
            </w:r>
          </w:p>
          <w:p>
            <w:pPr>
              <w:spacing w:line="360" w:lineRule="auto"/>
              <w:ind w:firstLine="482" w:firstLineChars="200"/>
              <w:rPr>
                <w:rFonts w:ascii="Times New Roman" w:hAnsi="宋体"/>
                <w:b/>
                <w:sz w:val="24"/>
              </w:rPr>
            </w:pPr>
            <w:r>
              <w:rPr>
                <w:rFonts w:hint="eastAsia" w:ascii="Times New Roman" w:hAnsi="宋体"/>
                <w:b/>
                <w:sz w:val="24"/>
              </w:rPr>
              <w:t>二、鼓励教师出国任教，积累海外一线教学经验</w:t>
            </w:r>
          </w:p>
          <w:p>
            <w:pPr>
              <w:spacing w:line="360" w:lineRule="auto"/>
              <w:ind w:firstLine="480" w:firstLineChars="200"/>
              <w:rPr>
                <w:sz w:val="24"/>
                <w:szCs w:val="24"/>
              </w:rPr>
            </w:pPr>
            <w:r>
              <w:rPr>
                <w:rFonts w:hint="eastAsia"/>
                <w:sz w:val="24"/>
                <w:szCs w:val="24"/>
              </w:rPr>
              <w:t>汉语国际教育专业硕士的师资必须具备对外汉语教学经验，最好是海外汉语教学经验。本学科点虽然有29名教师有海外教学和工作经历，但仍有一部分教师还未走出国门，有些教师甚至缺乏出国意向。因此，我们今后将推动学校提高出国任教教师待遇，将根据教师是否具备海外工作经历作为新聘导师的重要标准。我们还将采取措施，力争每一位教师都至少在一地工作过一次，同时还要扩大海外派出国的数量，除了到自己学校对口的孔子学院外，尽可能地到其他国家进行教学，更广泛地接触不同语言背景、不同文化背景、不同地域的海外汉语学习者，使老师们的一线教学经验得到更大的丰富，也可以为增加教学案例提供一手的宝贵资料。</w:t>
            </w:r>
          </w:p>
          <w:p>
            <w:pPr>
              <w:spacing w:line="360" w:lineRule="auto"/>
              <w:ind w:firstLine="482" w:firstLineChars="200"/>
              <w:rPr>
                <w:rFonts w:ascii="Times New Roman" w:hAnsi="宋体"/>
                <w:b/>
                <w:sz w:val="24"/>
              </w:rPr>
            </w:pPr>
            <w:r>
              <w:rPr>
                <w:rFonts w:hint="eastAsia" w:ascii="Times New Roman" w:hAnsi="宋体"/>
                <w:b/>
                <w:sz w:val="24"/>
              </w:rPr>
              <w:t>三、加强与境外教育机构的联系，扩展孔子学院建设及海外实践基地建设</w:t>
            </w:r>
          </w:p>
          <w:p>
            <w:pPr>
              <w:spacing w:line="360" w:lineRule="auto"/>
              <w:ind w:firstLine="480" w:firstLineChars="200"/>
              <w:rPr>
                <w:sz w:val="24"/>
                <w:szCs w:val="24"/>
              </w:rPr>
            </w:pPr>
            <w:r>
              <w:rPr>
                <w:rFonts w:hint="eastAsia"/>
                <w:sz w:val="24"/>
                <w:szCs w:val="24"/>
              </w:rPr>
              <w:t>海外实习基地建设有助于学生尽快熟悉并融入异域文化，提高跨文化交际能力和海外汉语教学能力。学科点将进一步与我校孔子学院及海内外实践基地建立健全管理体系和运行机制，加强与我校孔子学院的联系，适应孔子学院对志愿者的需求。我们还将在原有两个孔院的基础上，继续申请筹办新的孔子学院。服务于国家“一带一路”的发展战略，除了继续加强原有海外实习基地建设之外，我校还将在泰国、印度尼西亚、立陶宛等“一带一路”沿线国家建立新的海外实习基地。加大非通用语种外语类研究生的招生比例，并为他们赴相应国家进行汉语教学提供便利。同时，要根据研究生培养目标，针对海外实习研究生，健全实践管理办法，加强实践考核评价，保证实践质量，促进实践与课程教学和学位论文工作的紧密结合，注重在实践中培养研究生解决实际问题的意识和能力。</w:t>
            </w:r>
          </w:p>
          <w:p>
            <w:pPr>
              <w:spacing w:line="360" w:lineRule="auto"/>
              <w:ind w:firstLine="480" w:firstLineChars="200"/>
              <w:rPr>
                <w:sz w:val="24"/>
                <w:szCs w:val="24"/>
              </w:rPr>
            </w:pPr>
            <w:r>
              <w:rPr>
                <w:rFonts w:hint="eastAsia"/>
                <w:sz w:val="24"/>
                <w:szCs w:val="24"/>
              </w:rPr>
              <w:t>我们将在与境外高校合作的基础上，选择条件成熟的学校，探索“境内+境外”双学位培养路径，学生在获得我校课程学分后，鼓励他们赴合作院校继续学校，完成教学实习和毕业论文，同时通过一至两年的境外学习，获得境外相关学位，为他们熟悉所在国环境，提高所在国就业竞争力创造条件。</w:t>
            </w:r>
          </w:p>
          <w:p>
            <w:pPr>
              <w:rPr>
                <w:rFonts w:ascii="仿宋_GB2312" w:hAnsi="仿宋" w:eastAsia="仿宋_GB2312" w:cs="黑体"/>
                <w:sz w:val="32"/>
                <w:szCs w:val="32"/>
              </w:rPr>
            </w:pPr>
          </w:p>
        </w:tc>
      </w:tr>
    </w:tbl>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二、培养方案</w:t>
      </w:r>
    </w:p>
    <w:tbl>
      <w:tblPr>
        <w:tblStyle w:val="30"/>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8505" w:type="dxa"/>
          </w:tcPr>
          <w:p>
            <w:pPr>
              <w:spacing w:line="360" w:lineRule="auto"/>
              <w:rPr>
                <w:rFonts w:ascii="仿宋_GB2312" w:hAnsi="仿宋" w:eastAsia="仿宋_GB2312" w:cs="黑体"/>
                <w:color w:val="000000" w:themeColor="text1"/>
                <w:sz w:val="32"/>
                <w:szCs w:val="32"/>
              </w:rPr>
            </w:pPr>
            <w:r>
              <w:rPr>
                <w:rFonts w:hint="eastAsia" w:ascii="仿宋_GB2312" w:hAnsi="仿宋" w:eastAsia="仿宋_GB2312" w:cs="黑体"/>
                <w:b/>
                <w:color w:val="000000" w:themeColor="text1"/>
                <w:sz w:val="32"/>
                <w:szCs w:val="32"/>
              </w:rPr>
              <w:t>培养方案内容</w:t>
            </w:r>
          </w:p>
          <w:p>
            <w:pPr>
              <w:pStyle w:val="53"/>
              <w:rPr>
                <w:color w:val="000000" w:themeColor="text1"/>
              </w:rPr>
            </w:pPr>
            <w:r>
              <w:rPr>
                <w:rFonts w:hint="eastAsia"/>
                <w:color w:val="000000" w:themeColor="text1"/>
              </w:rPr>
              <w:t>人文与国际教育学院</w:t>
            </w:r>
          </w:p>
          <w:p>
            <w:pPr>
              <w:pStyle w:val="53"/>
              <w:rPr>
                <w:color w:val="000000" w:themeColor="text1"/>
              </w:rPr>
            </w:pPr>
            <w:r>
              <w:rPr>
                <w:rFonts w:hint="eastAsia"/>
                <w:color w:val="000000" w:themeColor="text1"/>
              </w:rPr>
              <w:t>汉语国际教育硕士专业学位研究生培养方案</w:t>
            </w:r>
          </w:p>
          <w:p>
            <w:pPr>
              <w:pStyle w:val="54"/>
              <w:rPr>
                <w:color w:val="000000" w:themeColor="text1"/>
              </w:rPr>
            </w:pPr>
            <w:r>
              <w:rPr>
                <w:rFonts w:hint="eastAsia"/>
                <w:color w:val="000000" w:themeColor="text1"/>
              </w:rPr>
              <w:t>（一级学科代码：045300）</w:t>
            </w:r>
          </w:p>
          <w:p>
            <w:pPr>
              <w:pStyle w:val="54"/>
              <w:rPr>
                <w:color w:val="000000" w:themeColor="text1"/>
              </w:rPr>
            </w:pPr>
            <w:r>
              <w:rPr>
                <w:rFonts w:hint="eastAsia"/>
                <w:color w:val="000000" w:themeColor="text1"/>
              </w:rPr>
              <w:t>（适用于中国学生）</w:t>
            </w:r>
          </w:p>
          <w:p>
            <w:pPr>
              <w:pStyle w:val="55"/>
              <w:spacing w:before="120"/>
              <w:rPr>
                <w:color w:val="000000" w:themeColor="text1"/>
              </w:rPr>
            </w:pPr>
            <w:r>
              <w:rPr>
                <w:rFonts w:hint="eastAsia"/>
                <w:color w:val="000000" w:themeColor="text1"/>
              </w:rPr>
              <w:t>一、培养目标</w:t>
            </w:r>
          </w:p>
          <w:p>
            <w:pPr>
              <w:pStyle w:val="56"/>
              <w:spacing w:before="120"/>
              <w:ind w:firstLine="480"/>
              <w:rPr>
                <w:rFonts w:cs="Arial"/>
                <w:b/>
                <w:bCs/>
                <w:color w:val="000000" w:themeColor="text1"/>
                <w:spacing w:val="6"/>
                <w:sz w:val="24"/>
                <w:szCs w:val="24"/>
              </w:rPr>
            </w:pPr>
            <w:r>
              <w:rPr>
                <w:rFonts w:hint="eastAsia"/>
                <w:color w:val="000000" w:themeColor="text1"/>
                <w:sz w:val="24"/>
                <w:szCs w:val="24"/>
              </w:rPr>
              <w:t>汉语国际教育硕士专业学位研究生的培养目标是：按照实践性、复合型、国际化的人才培养要求，培养适应能力强、有较全面的实用教学技能的国际汉语教师；把外语能力、汉语知识、文化素养和教学技能有机地结合起来，突出实用性，课堂教学与社会实践并重，汉语外语并重，适当加入中华才艺等技能性课程；学生毕业后能在各级各类学校、教学机构从事汉语教学，也能在政府部门、公司或企业等机构从事与汉语或中华文化相关的工作。</w:t>
            </w:r>
          </w:p>
          <w:p>
            <w:pPr>
              <w:pStyle w:val="55"/>
              <w:spacing w:before="120"/>
              <w:rPr>
                <w:color w:val="000000" w:themeColor="text1"/>
              </w:rPr>
            </w:pPr>
            <w:r>
              <w:rPr>
                <w:rFonts w:hint="eastAsia"/>
                <w:color w:val="000000" w:themeColor="text1"/>
              </w:rPr>
              <w:t>二、学科方向</w:t>
            </w:r>
          </w:p>
          <w:p>
            <w:pPr>
              <w:pStyle w:val="56"/>
              <w:spacing w:before="120"/>
              <w:ind w:firstLine="480"/>
              <w:rPr>
                <w:color w:val="000000" w:themeColor="text1"/>
                <w:sz w:val="24"/>
                <w:szCs w:val="24"/>
              </w:rPr>
            </w:pPr>
            <w:r>
              <w:rPr>
                <w:rFonts w:hint="eastAsia"/>
                <w:color w:val="000000" w:themeColor="text1"/>
                <w:sz w:val="24"/>
                <w:szCs w:val="24"/>
              </w:rPr>
              <w:t>汉语国际教育</w:t>
            </w:r>
          </w:p>
          <w:p>
            <w:pPr>
              <w:pStyle w:val="55"/>
              <w:spacing w:before="120"/>
              <w:rPr>
                <w:color w:val="000000" w:themeColor="text1"/>
              </w:rPr>
            </w:pPr>
            <w:r>
              <w:rPr>
                <w:rFonts w:hint="eastAsia"/>
                <w:color w:val="000000" w:themeColor="text1"/>
              </w:rPr>
              <w:t>三、学习年限</w:t>
            </w:r>
          </w:p>
          <w:p>
            <w:pPr>
              <w:pStyle w:val="56"/>
              <w:spacing w:before="120"/>
              <w:ind w:firstLine="480"/>
              <w:rPr>
                <w:color w:val="000000" w:themeColor="text1"/>
                <w:sz w:val="24"/>
                <w:szCs w:val="24"/>
              </w:rPr>
            </w:pPr>
            <w:r>
              <w:rPr>
                <w:rFonts w:hint="eastAsia"/>
                <w:color w:val="000000" w:themeColor="text1"/>
                <w:sz w:val="24"/>
                <w:szCs w:val="24"/>
              </w:rPr>
              <w:t>汉语国际教育硕士专业学位研究生基本学制为2.5年。学习年限最长为5年（含休学时间）。</w:t>
            </w:r>
          </w:p>
          <w:p>
            <w:pPr>
              <w:pStyle w:val="55"/>
              <w:spacing w:before="120"/>
              <w:rPr>
                <w:color w:val="000000" w:themeColor="text1"/>
              </w:rPr>
            </w:pPr>
            <w:r>
              <w:rPr>
                <w:rFonts w:hint="eastAsia"/>
                <w:color w:val="000000" w:themeColor="text1"/>
              </w:rPr>
              <w:t>四、课程设置与学分要求</w:t>
            </w:r>
          </w:p>
          <w:p>
            <w:pPr>
              <w:pStyle w:val="56"/>
              <w:spacing w:before="120"/>
              <w:ind w:firstLine="480"/>
              <w:rPr>
                <w:bCs/>
                <w:color w:val="000000" w:themeColor="text1"/>
                <w:spacing w:val="6"/>
              </w:rPr>
            </w:pPr>
            <w:r>
              <w:rPr>
                <w:rFonts w:hint="eastAsia"/>
                <w:color w:val="000000" w:themeColor="text1"/>
                <w:sz w:val="24"/>
                <w:szCs w:val="24"/>
              </w:rPr>
              <w:t>攻读本学科硕士专业学位研究生需获得学位课（必修课）18学分，学科学位选修课</w:t>
            </w:r>
            <w:r>
              <w:rPr>
                <w:color w:val="000000" w:themeColor="text1"/>
                <w:sz w:val="24"/>
                <w:szCs w:val="24"/>
              </w:rPr>
              <w:t>12</w:t>
            </w:r>
            <w:r>
              <w:rPr>
                <w:rFonts w:hint="eastAsia"/>
                <w:color w:val="000000" w:themeColor="text1"/>
                <w:sz w:val="24"/>
                <w:szCs w:val="24"/>
              </w:rPr>
              <w:t>学分，必修环节不少于8学分，总学分最低3</w:t>
            </w:r>
            <w:r>
              <w:rPr>
                <w:color w:val="000000" w:themeColor="text1"/>
                <w:sz w:val="24"/>
                <w:szCs w:val="24"/>
              </w:rPr>
              <w:t>8</w:t>
            </w:r>
            <w:r>
              <w:rPr>
                <w:rFonts w:hint="eastAsia"/>
                <w:color w:val="000000" w:themeColor="text1"/>
                <w:sz w:val="24"/>
                <w:szCs w:val="24"/>
              </w:rPr>
              <w:t>学分。具体课程设置附后。</w:t>
            </w:r>
            <w:r>
              <w:rPr>
                <w:color w:val="000000" w:themeColor="text1"/>
                <w:sz w:val="24"/>
                <w:szCs w:val="24"/>
              </w:rPr>
              <w:tab/>
            </w:r>
          </w:p>
          <w:p>
            <w:pPr>
              <w:pStyle w:val="55"/>
              <w:spacing w:before="120"/>
              <w:rPr>
                <w:color w:val="000000" w:themeColor="text1"/>
              </w:rPr>
            </w:pPr>
            <w:r>
              <w:rPr>
                <w:rFonts w:hint="eastAsia"/>
                <w:color w:val="000000" w:themeColor="text1"/>
              </w:rPr>
              <w:t>五、培养方式</w:t>
            </w:r>
          </w:p>
          <w:p>
            <w:pPr>
              <w:pStyle w:val="56"/>
              <w:spacing w:before="120"/>
              <w:ind w:firstLine="480"/>
              <w:rPr>
                <w:color w:val="000000" w:themeColor="text1"/>
                <w:sz w:val="24"/>
                <w:szCs w:val="24"/>
              </w:rPr>
            </w:pPr>
            <w:r>
              <w:rPr>
                <w:rFonts w:hint="eastAsia"/>
                <w:color w:val="000000" w:themeColor="text1"/>
                <w:sz w:val="24"/>
                <w:szCs w:val="24"/>
              </w:rPr>
              <w:t>采用课程学习与汉语国际教育实践相结合，汉语国际教育与中华文化传播相结合，导师指导与实习指导教师指导相结合的培养方式。</w:t>
            </w:r>
          </w:p>
          <w:p>
            <w:pPr>
              <w:pStyle w:val="56"/>
              <w:spacing w:before="120"/>
              <w:ind w:firstLine="480"/>
              <w:rPr>
                <w:color w:val="000000" w:themeColor="text1"/>
                <w:sz w:val="24"/>
                <w:szCs w:val="24"/>
              </w:rPr>
            </w:pPr>
            <w:r>
              <w:rPr>
                <w:rFonts w:hint="eastAsia"/>
                <w:color w:val="000000" w:themeColor="text1"/>
                <w:sz w:val="24"/>
                <w:szCs w:val="24"/>
              </w:rPr>
              <w:t>具体参照《浙江科技学院关于制订硕士研究生培养方案的指导意见》（</w:t>
            </w:r>
            <w:r>
              <w:rPr>
                <w:color w:val="000000" w:themeColor="text1"/>
                <w:sz w:val="24"/>
                <w:szCs w:val="24"/>
              </w:rPr>
              <w:t>浙科院研〔2012〕1号</w:t>
            </w:r>
            <w:r>
              <w:rPr>
                <w:rFonts w:hint="eastAsia"/>
                <w:color w:val="000000" w:themeColor="text1"/>
                <w:sz w:val="24"/>
                <w:szCs w:val="24"/>
              </w:rPr>
              <w:t>）执行。</w:t>
            </w:r>
          </w:p>
          <w:p>
            <w:pPr>
              <w:spacing w:beforeLines="50" w:line="360" w:lineRule="auto"/>
              <w:ind w:right="30"/>
              <w:rPr>
                <w:rFonts w:ascii="黑体" w:hAnsi="宋体" w:eastAsia="黑体" w:cs="Arial"/>
                <w:b/>
                <w:bCs/>
                <w:color w:val="000000" w:themeColor="text1"/>
                <w:spacing w:val="6"/>
                <w:kern w:val="0"/>
                <w:sz w:val="24"/>
              </w:rPr>
            </w:pPr>
            <w:r>
              <w:rPr>
                <w:rFonts w:hint="eastAsia" w:ascii="黑体" w:hAnsi="宋体" w:eastAsia="黑体" w:cs="Arial"/>
                <w:b/>
                <w:bCs/>
                <w:color w:val="000000" w:themeColor="text1"/>
                <w:spacing w:val="6"/>
                <w:kern w:val="0"/>
                <w:sz w:val="24"/>
              </w:rPr>
              <w:t>六、培养过程实施</w:t>
            </w:r>
          </w:p>
          <w:p>
            <w:pPr>
              <w:pStyle w:val="56"/>
              <w:spacing w:before="120"/>
              <w:ind w:firstLine="480"/>
              <w:rPr>
                <w:color w:val="000000" w:themeColor="text1"/>
                <w:sz w:val="24"/>
                <w:szCs w:val="24"/>
              </w:rPr>
            </w:pPr>
            <w:r>
              <w:rPr>
                <w:rFonts w:hint="eastAsia"/>
                <w:color w:val="000000" w:themeColor="text1"/>
                <w:sz w:val="24"/>
                <w:szCs w:val="24"/>
              </w:rPr>
              <w:t xml:space="preserve"> 按照 《浙江科技学院全日制汉语国际教育和工程硕士专业学位研究生培养工作规定（试行）》（</w:t>
            </w:r>
            <w:r>
              <w:rPr>
                <w:color w:val="000000" w:themeColor="text1"/>
                <w:sz w:val="24"/>
                <w:szCs w:val="24"/>
              </w:rPr>
              <w:t>浙科院研〔201</w:t>
            </w:r>
            <w:r>
              <w:rPr>
                <w:rFonts w:hint="eastAsia"/>
                <w:color w:val="000000" w:themeColor="text1"/>
                <w:sz w:val="24"/>
                <w:szCs w:val="24"/>
              </w:rPr>
              <w:t>5</w:t>
            </w:r>
            <w:r>
              <w:rPr>
                <w:color w:val="000000" w:themeColor="text1"/>
                <w:sz w:val="24"/>
                <w:szCs w:val="24"/>
              </w:rPr>
              <w:t>〕</w:t>
            </w:r>
            <w:r>
              <w:rPr>
                <w:rFonts w:hint="eastAsia"/>
                <w:color w:val="000000" w:themeColor="text1"/>
                <w:sz w:val="24"/>
                <w:szCs w:val="24"/>
              </w:rPr>
              <w:t>11</w:t>
            </w:r>
            <w:r>
              <w:rPr>
                <w:color w:val="000000" w:themeColor="text1"/>
                <w:sz w:val="24"/>
                <w:szCs w:val="24"/>
              </w:rPr>
              <w:t>号</w:t>
            </w:r>
            <w:r>
              <w:rPr>
                <w:rFonts w:hint="eastAsia"/>
                <w:color w:val="000000" w:themeColor="text1"/>
                <w:sz w:val="24"/>
                <w:szCs w:val="24"/>
              </w:rPr>
              <w:t>）执行。</w:t>
            </w:r>
          </w:p>
          <w:p>
            <w:pPr>
              <w:pStyle w:val="58"/>
              <w:spacing w:before="120"/>
              <w:jc w:val="center"/>
              <w:rPr>
                <w:color w:val="000000" w:themeColor="text1"/>
              </w:rPr>
            </w:pPr>
          </w:p>
          <w:p>
            <w:pPr>
              <w:pStyle w:val="58"/>
              <w:spacing w:before="120"/>
              <w:jc w:val="center"/>
              <w:rPr>
                <w:color w:val="000000" w:themeColor="text1"/>
              </w:rPr>
            </w:pPr>
            <w:r>
              <w:rPr>
                <w:rFonts w:hint="eastAsia"/>
                <w:color w:val="000000" w:themeColor="text1"/>
              </w:rPr>
              <w:t>汉语国际教育硕士专业学位研究生课程设置</w:t>
            </w:r>
          </w:p>
          <w:p>
            <w:pPr>
              <w:rPr>
                <w:rFonts w:ascii="楷体_GB2312" w:eastAsia="楷体_GB2312"/>
                <w:color w:val="000000" w:themeColor="text1"/>
                <w:sz w:val="18"/>
                <w:szCs w:val="18"/>
              </w:rPr>
            </w:pPr>
          </w:p>
          <w:tbl>
            <w:tblPr>
              <w:tblStyle w:val="30"/>
              <w:tblpPr w:leftFromText="180" w:rightFromText="180" w:vertAnchor="text" w:horzAnchor="page" w:tblpX="2152" w:tblpY="65"/>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60"/>
              <w:gridCol w:w="720"/>
              <w:gridCol w:w="1080"/>
              <w:gridCol w:w="1968"/>
              <w:gridCol w:w="708"/>
              <w:gridCol w:w="567"/>
              <w:gridCol w:w="709"/>
              <w:gridCol w:w="8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trPr>
              <w:tc>
                <w:tcPr>
                  <w:tcW w:w="735" w:type="dxa"/>
                  <w:gridSpan w:val="2"/>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类别</w:t>
                  </w:r>
                </w:p>
              </w:tc>
              <w:tc>
                <w:tcPr>
                  <w:tcW w:w="720"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课程</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编号</w:t>
                  </w:r>
                </w:p>
              </w:tc>
              <w:tc>
                <w:tcPr>
                  <w:tcW w:w="3048" w:type="dxa"/>
                  <w:gridSpan w:val="2"/>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课程名称</w:t>
                  </w:r>
                </w:p>
              </w:tc>
              <w:tc>
                <w:tcPr>
                  <w:tcW w:w="708"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总学时</w:t>
                  </w:r>
                </w:p>
              </w:tc>
              <w:tc>
                <w:tcPr>
                  <w:tcW w:w="567"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学分</w:t>
                  </w:r>
                </w:p>
              </w:tc>
              <w:tc>
                <w:tcPr>
                  <w:tcW w:w="709"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开课学期</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考核</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方式</w:t>
                  </w:r>
                </w:p>
              </w:tc>
              <w:tc>
                <w:tcPr>
                  <w:tcW w:w="708" w:type="dxa"/>
                </w:tcPr>
                <w:p>
                  <w:pPr>
                    <w:adjustRightInd w:val="0"/>
                    <w:snapToGrid w:val="0"/>
                    <w:jc w:val="center"/>
                    <w:rPr>
                      <w:rFonts w:ascii="宋体"/>
                      <w:color w:val="000000" w:themeColor="text1"/>
                      <w:sz w:val="18"/>
                      <w:szCs w:val="18"/>
                    </w:rPr>
                  </w:pPr>
                </w:p>
                <w:p>
                  <w:pPr>
                    <w:adjustRightInd w:val="0"/>
                    <w:snapToGrid w:val="0"/>
                    <w:rPr>
                      <w:rFonts w:ascii="宋体"/>
                      <w:color w:val="000000" w:themeColor="text1"/>
                      <w:sz w:val="18"/>
                      <w:szCs w:val="18"/>
                    </w:rPr>
                  </w:pPr>
                  <w:r>
                    <w:rPr>
                      <w:rFonts w:hint="eastAsia" w:ascii="宋体" w:hAnsi="宋体"/>
                      <w:color w:val="000000" w:themeColor="text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735" w:type="dxa"/>
                  <w:gridSpan w:val="2"/>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公</w:t>
                  </w:r>
                </w:p>
                <w:p>
                  <w:pPr>
                    <w:adjustRightInd w:val="0"/>
                    <w:snapToGrid w:val="0"/>
                    <w:rPr>
                      <w:rFonts w:ascii="宋体"/>
                      <w:color w:val="000000" w:themeColor="text1"/>
                      <w:sz w:val="18"/>
                      <w:szCs w:val="18"/>
                    </w:rPr>
                  </w:pPr>
                  <w:r>
                    <w:rPr>
                      <w:rFonts w:hint="eastAsia" w:ascii="宋体" w:hAnsi="宋体"/>
                      <w:color w:val="000000" w:themeColor="text1"/>
                      <w:sz w:val="18"/>
                      <w:szCs w:val="18"/>
                    </w:rPr>
                    <w:t>共</w:t>
                  </w:r>
                </w:p>
                <w:p>
                  <w:pPr>
                    <w:adjustRightInd w:val="0"/>
                    <w:snapToGrid w:val="0"/>
                    <w:rPr>
                      <w:rFonts w:ascii="宋体"/>
                      <w:color w:val="000000" w:themeColor="text1"/>
                      <w:sz w:val="18"/>
                      <w:szCs w:val="18"/>
                    </w:rPr>
                  </w:pPr>
                  <w:r>
                    <w:rPr>
                      <w:rFonts w:hint="eastAsia" w:ascii="宋体" w:hAnsi="宋体"/>
                      <w:color w:val="000000" w:themeColor="text1"/>
                      <w:sz w:val="18"/>
                      <w:szCs w:val="18"/>
                    </w:rPr>
                    <w:t>学</w:t>
                  </w:r>
                </w:p>
                <w:p>
                  <w:pPr>
                    <w:adjustRightInd w:val="0"/>
                    <w:snapToGrid w:val="0"/>
                    <w:rPr>
                      <w:rFonts w:ascii="宋体"/>
                      <w:color w:val="000000" w:themeColor="text1"/>
                      <w:sz w:val="18"/>
                      <w:szCs w:val="18"/>
                    </w:rPr>
                  </w:pPr>
                  <w:r>
                    <w:rPr>
                      <w:rFonts w:hint="eastAsia" w:ascii="宋体" w:hAnsi="宋体"/>
                      <w:color w:val="000000" w:themeColor="text1"/>
                      <w:sz w:val="18"/>
                      <w:szCs w:val="18"/>
                    </w:rPr>
                    <w:t>位</w:t>
                  </w:r>
                </w:p>
                <w:p>
                  <w:pPr>
                    <w:adjustRightInd w:val="0"/>
                    <w:snapToGrid w:val="0"/>
                    <w:rPr>
                      <w:rFonts w:ascii="宋体"/>
                      <w:color w:val="000000" w:themeColor="text1"/>
                      <w:sz w:val="18"/>
                      <w:szCs w:val="18"/>
                    </w:rPr>
                  </w:pPr>
                  <w:r>
                    <w:rPr>
                      <w:rFonts w:hint="eastAsia" w:ascii="宋体" w:hAnsi="宋体"/>
                      <w:color w:val="000000" w:themeColor="text1"/>
                      <w:sz w:val="18"/>
                      <w:szCs w:val="18"/>
                    </w:rPr>
                    <w:t>课</w:t>
                  </w: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00001</w:t>
                  </w:r>
                  <w:r>
                    <w:rPr>
                      <w:color w:val="000000" w:themeColor="text1"/>
                      <w:sz w:val="15"/>
                      <w:szCs w:val="15"/>
                    </w:rPr>
                    <w:t>5</w:t>
                  </w:r>
                  <w:r>
                    <w:rPr>
                      <w:rFonts w:hint="eastAsia"/>
                      <w:color w:val="000000" w:themeColor="text1"/>
                      <w:sz w:val="15"/>
                      <w:szCs w:val="15"/>
                    </w:rPr>
                    <w:t>2001</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中国特色社会主义理论与实践研究</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restart"/>
                  <w:vAlign w:val="center"/>
                </w:tcPr>
                <w:p>
                  <w:pPr>
                    <w:adjustRightInd w:val="0"/>
                    <w:snapToGrid w:val="0"/>
                    <w:jc w:val="left"/>
                    <w:rPr>
                      <w:rFonts w:ascii="宋体"/>
                      <w:color w:val="000000" w:themeColor="text1"/>
                      <w:szCs w:val="21"/>
                    </w:rPr>
                  </w:pPr>
                  <w:r>
                    <w:rPr>
                      <w:rFonts w:hint="eastAsia" w:ascii="宋体"/>
                      <w:color w:val="000000" w:themeColor="text1"/>
                      <w:sz w:val="18"/>
                      <w:szCs w:val="18"/>
                    </w:rPr>
                    <w:t>必修</w:t>
                  </w:r>
                  <w:r>
                    <w:rPr>
                      <w:color w:val="000000" w:themeColor="text1"/>
                      <w:sz w:val="18"/>
                      <w:szCs w:val="18"/>
                    </w:rPr>
                    <w:t>6</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000009</w:t>
                  </w:r>
                  <w:r>
                    <w:rPr>
                      <w:color w:val="000000" w:themeColor="text1"/>
                      <w:sz w:val="15"/>
                      <w:szCs w:val="15"/>
                    </w:rPr>
                    <w:t>3</w:t>
                  </w:r>
                  <w:r>
                    <w:rPr>
                      <w:rFonts w:hint="eastAsia"/>
                      <w:color w:val="000000" w:themeColor="text1"/>
                      <w:sz w:val="15"/>
                      <w:szCs w:val="15"/>
                    </w:rPr>
                    <w:t>00</w:t>
                  </w:r>
                  <w:r>
                    <w:rPr>
                      <w:color w:val="000000" w:themeColor="text1"/>
                      <w:sz w:val="15"/>
                      <w:szCs w:val="15"/>
                    </w:rPr>
                    <w:t>3</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硕士英语</w:t>
                  </w:r>
                  <w:r>
                    <w:rPr>
                      <w:rFonts w:ascii="宋体" w:hAnsi="宋体"/>
                      <w:color w:val="000000" w:themeColor="text1"/>
                      <w:sz w:val="18"/>
                      <w:szCs w:val="18"/>
                    </w:rPr>
                    <w:t>2</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000009</w:t>
                  </w:r>
                  <w:r>
                    <w:rPr>
                      <w:color w:val="000000" w:themeColor="text1"/>
                      <w:sz w:val="15"/>
                      <w:szCs w:val="15"/>
                    </w:rPr>
                    <w:t>1</w:t>
                  </w:r>
                  <w:r>
                    <w:rPr>
                      <w:rFonts w:hint="eastAsia"/>
                      <w:color w:val="000000" w:themeColor="text1"/>
                      <w:sz w:val="15"/>
                      <w:szCs w:val="15"/>
                    </w:rPr>
                    <w:t>002</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硕士英语口语</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trPr>
              <w:tc>
                <w:tcPr>
                  <w:tcW w:w="375"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学</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科</w:t>
                  </w:r>
                </w:p>
                <w:p>
                  <w:pPr>
                    <w:adjustRightInd w:val="0"/>
                    <w:snapToGrid w:val="0"/>
                    <w:jc w:val="center"/>
                    <w:rPr>
                      <w:rFonts w:ascii="宋体"/>
                      <w:color w:val="000000" w:themeColor="text1"/>
                      <w:sz w:val="18"/>
                      <w:szCs w:val="18"/>
                    </w:rPr>
                  </w:pPr>
                  <w:r>
                    <w:rPr>
                      <w:rFonts w:hint="eastAsia" w:ascii="宋体"/>
                      <w:color w:val="000000" w:themeColor="text1"/>
                      <w:sz w:val="18"/>
                      <w:szCs w:val="18"/>
                    </w:rPr>
                    <w:t>学位</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w:t>
                  </w:r>
                </w:p>
              </w:tc>
              <w:tc>
                <w:tcPr>
                  <w:tcW w:w="360" w:type="dxa"/>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核心课程</w:t>
                  </w: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1504534001</w:t>
                  </w:r>
                </w:p>
              </w:tc>
              <w:tc>
                <w:tcPr>
                  <w:tcW w:w="3048" w:type="dxa"/>
                  <w:gridSpan w:val="2"/>
                  <w:vAlign w:val="center"/>
                </w:tcPr>
                <w:p>
                  <w:pPr>
                    <w:pStyle w:val="10"/>
                    <w:adjustRightInd w:val="0"/>
                    <w:snapToGrid w:val="0"/>
                    <w:ind w:firstLine="0" w:firstLineChars="0"/>
                    <w:rPr>
                      <w:rFonts w:ascii="宋体" w:hAnsi="宋体"/>
                      <w:color w:val="000000" w:themeColor="text1"/>
                      <w:sz w:val="18"/>
                      <w:szCs w:val="18"/>
                    </w:rPr>
                  </w:pPr>
                  <w:r>
                    <w:rPr>
                      <w:rFonts w:hint="eastAsia" w:ascii="宋体" w:hAnsi="宋体" w:cs="宋体"/>
                      <w:color w:val="000000" w:themeColor="text1"/>
                      <w:kern w:val="0"/>
                      <w:sz w:val="18"/>
                      <w:szCs w:val="18"/>
                    </w:rPr>
                    <w:t>汉语作为第二语言教学</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64</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851" w:type="dxa"/>
                  <w:vAlign w:val="center"/>
                </w:tcPr>
                <w:p>
                  <w:pPr>
                    <w:adjustRightInd w:val="0"/>
                    <w:snapToGrid w:val="0"/>
                    <w:jc w:val="center"/>
                    <w:rPr>
                      <w:rFonts w:ascii="宋体" w:hAnsi="宋体"/>
                      <w:color w:val="000000" w:themeColor="text1"/>
                      <w:sz w:val="18"/>
                      <w:szCs w:val="18"/>
                    </w:rPr>
                  </w:pPr>
                  <w:r>
                    <w:rPr>
                      <w:rFonts w:hint="eastAsia" w:ascii="宋体" w:hAnsi="宋体"/>
                      <w:color w:val="000000" w:themeColor="text1"/>
                      <w:sz w:val="18"/>
                      <w:szCs w:val="18"/>
                    </w:rPr>
                    <w:t>考试</w:t>
                  </w:r>
                </w:p>
              </w:tc>
              <w:tc>
                <w:tcPr>
                  <w:tcW w:w="708" w:type="dxa"/>
                  <w:vMerge w:val="restart"/>
                  <w:vAlign w:val="center"/>
                </w:tcPr>
                <w:p>
                  <w:pPr>
                    <w:adjustRightInd w:val="0"/>
                    <w:snapToGrid w:val="0"/>
                    <w:jc w:val="left"/>
                    <w:rPr>
                      <w:rFonts w:ascii="宋体"/>
                      <w:color w:val="000000" w:themeColor="text1"/>
                      <w:sz w:val="18"/>
                      <w:szCs w:val="18"/>
                    </w:rPr>
                  </w:pPr>
                  <w:r>
                    <w:rPr>
                      <w:rFonts w:hint="eastAsia" w:ascii="宋体"/>
                      <w:color w:val="000000" w:themeColor="text1"/>
                      <w:sz w:val="18"/>
                      <w:szCs w:val="18"/>
                    </w:rPr>
                    <w:t>必修</w:t>
                  </w:r>
                  <w:r>
                    <w:rPr>
                      <w:color w:val="000000" w:themeColor="text1"/>
                      <w:sz w:val="18"/>
                      <w:szCs w:val="18"/>
                    </w:rPr>
                    <w:t>12</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1504532002</w:t>
                  </w:r>
                </w:p>
              </w:tc>
              <w:tc>
                <w:tcPr>
                  <w:tcW w:w="3048" w:type="dxa"/>
                  <w:gridSpan w:val="2"/>
                </w:tcPr>
                <w:p>
                  <w:pPr>
                    <w:rPr>
                      <w:rFonts w:ascii="宋体"/>
                      <w:color w:val="000000" w:themeColor="text1"/>
                      <w:sz w:val="18"/>
                      <w:szCs w:val="18"/>
                    </w:rPr>
                  </w:pPr>
                  <w:r>
                    <w:rPr>
                      <w:rFonts w:hint="eastAsia" w:ascii="宋体" w:hAnsi="宋体" w:cs="宋体"/>
                      <w:color w:val="000000" w:themeColor="text1"/>
                      <w:kern w:val="0"/>
                      <w:sz w:val="18"/>
                      <w:szCs w:val="18"/>
                    </w:rPr>
                    <w:t>第二语言习得</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1504532003</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国外汉语课堂教学案例</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1504532004</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中华文化与传播</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1504532005</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跨文化交际</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扩展课程</w:t>
                  </w:r>
                </w:p>
              </w:tc>
              <w:tc>
                <w:tcPr>
                  <w:tcW w:w="720" w:type="dxa"/>
                  <w:vMerge w:val="restart"/>
                </w:tcPr>
                <w:p>
                  <w:pPr>
                    <w:pStyle w:val="10"/>
                    <w:adjustRightInd w:val="0"/>
                    <w:snapToGrid w:val="0"/>
                    <w:ind w:firstLine="0" w:firstLineChars="0"/>
                    <w:rPr>
                      <w:rFonts w:ascii="宋体" w:hAnsi="宋体"/>
                      <w:color w:val="000000" w:themeColor="text1"/>
                      <w:sz w:val="18"/>
                      <w:szCs w:val="18"/>
                    </w:rPr>
                  </w:pPr>
                  <w:r>
                    <w:rPr>
                      <w:rFonts w:hint="eastAsia" w:ascii="宋体" w:hAnsi="宋体"/>
                      <w:color w:val="000000" w:themeColor="text1"/>
                      <w:sz w:val="18"/>
                      <w:szCs w:val="18"/>
                    </w:rPr>
                    <w:t>汉语知识及其教学类</w:t>
                  </w:r>
                </w:p>
              </w:tc>
              <w:tc>
                <w:tcPr>
                  <w:tcW w:w="1080" w:type="dxa"/>
                </w:tcPr>
                <w:p>
                  <w:pPr>
                    <w:pStyle w:val="10"/>
                    <w:adjustRightInd w:val="0"/>
                    <w:snapToGrid w:val="0"/>
                    <w:ind w:firstLine="0" w:firstLineChars="0"/>
                    <w:rPr>
                      <w:rFonts w:ascii="宋体" w:hAnsi="宋体"/>
                      <w:color w:val="000000" w:themeColor="text1"/>
                      <w:sz w:val="18"/>
                      <w:szCs w:val="18"/>
                    </w:rPr>
                  </w:pPr>
                  <w:r>
                    <w:rPr>
                      <w:rFonts w:hint="eastAsia"/>
                      <w:color w:val="000000" w:themeColor="text1"/>
                      <w:sz w:val="15"/>
                      <w:szCs w:val="15"/>
                    </w:rPr>
                    <w:t>1504532006</w:t>
                  </w:r>
                </w:p>
              </w:tc>
              <w:tc>
                <w:tcPr>
                  <w:tcW w:w="1968" w:type="dxa"/>
                  <w:vAlign w:val="center"/>
                </w:tcPr>
                <w:p>
                  <w:pPr>
                    <w:pStyle w:val="10"/>
                    <w:adjustRightInd w:val="0"/>
                    <w:snapToGrid w:val="0"/>
                    <w:ind w:firstLine="0" w:firstLineChars="0"/>
                    <w:rPr>
                      <w:rFonts w:ascii="宋体" w:hAnsi="宋体"/>
                      <w:color w:val="000000" w:themeColor="text1"/>
                      <w:sz w:val="18"/>
                      <w:szCs w:val="18"/>
                    </w:rPr>
                  </w:pPr>
                  <w:r>
                    <w:rPr>
                      <w:rFonts w:hint="eastAsia" w:ascii="宋体" w:hAnsi="宋体"/>
                      <w:color w:val="000000" w:themeColor="text1"/>
                      <w:sz w:val="18"/>
                      <w:szCs w:val="18"/>
                    </w:rPr>
                    <w:t>汉语语言学导论</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rFonts w:hint="eastAsia"/>
                      <w:color w:val="000000" w:themeColor="text1"/>
                      <w:sz w:val="18"/>
                      <w:szCs w:val="18"/>
                    </w:rPr>
                    <w:t>1</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扩展课程三个类别必须至少各选一至两门课，且选修学分不少于</w:t>
                  </w:r>
                  <w:r>
                    <w:rPr>
                      <w:color w:val="000000" w:themeColor="text1"/>
                      <w:sz w:val="18"/>
                      <w:szCs w:val="18"/>
                    </w:rPr>
                    <w:t>8</w:t>
                  </w:r>
                  <w:r>
                    <w:rPr>
                      <w:rFonts w:hint="eastAsia" w:ascii="宋体" w:hAns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1" w:hRule="atLeast"/>
              </w:trPr>
              <w:tc>
                <w:tcPr>
                  <w:tcW w:w="375" w:type="dxa"/>
                  <w:vMerge w:val="continue"/>
                  <w:vAlign w:val="center"/>
                </w:tcPr>
                <w:p>
                  <w:pPr>
                    <w:adjustRightInd w:val="0"/>
                    <w:snapToGrid w:val="0"/>
                    <w:jc w:val="center"/>
                    <w:rPr>
                      <w:rFonts w:ascii="宋体"/>
                      <w:color w:val="000000" w:themeColor="text1"/>
                      <w:szCs w:val="21"/>
                    </w:rPr>
                  </w:pPr>
                </w:p>
              </w:tc>
              <w:tc>
                <w:tcPr>
                  <w:tcW w:w="360" w:type="dxa"/>
                  <w:vMerge w:val="continue"/>
                  <w:vAlign w:val="center"/>
                </w:tcPr>
                <w:p>
                  <w:pPr>
                    <w:adjustRightInd w:val="0"/>
                    <w:snapToGrid w:val="0"/>
                    <w:jc w:val="center"/>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1504532007</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汉外语言对比</w:t>
                  </w:r>
                  <w:r>
                    <w:rPr>
                      <w:rFonts w:hint="eastAsia" w:ascii="宋体" w:hAnsi="宋体" w:cs="宋体"/>
                      <w:color w:val="000000" w:themeColor="text1"/>
                      <w:kern w:val="0"/>
                      <w:sz w:val="18"/>
                      <w:szCs w:val="18"/>
                    </w:rPr>
                    <w:t>与</w:t>
                  </w:r>
                  <w:r>
                    <w:rPr>
                      <w:rFonts w:ascii="宋体" w:hAnsi="宋体" w:cs="宋体"/>
                      <w:color w:val="000000" w:themeColor="text1"/>
                      <w:kern w:val="0"/>
                      <w:sz w:val="18"/>
                      <w:szCs w:val="18"/>
                    </w:rPr>
                    <w:t>偏误分析</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jc w:val="center"/>
                    <w:rPr>
                      <w:color w:val="000000" w:themeColor="text1"/>
                      <w:sz w:val="18"/>
                      <w:szCs w:val="18"/>
                    </w:rPr>
                  </w:pPr>
                  <w:r>
                    <w:rPr>
                      <w:color w:val="000000" w:themeColor="text1"/>
                      <w:sz w:val="18"/>
                      <w:szCs w:val="18"/>
                    </w:rPr>
                    <w:t>1</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jc w:val="center"/>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1504532008</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汉语教材与教学资源 </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jc w:val="center"/>
                    <w:rPr>
                      <w:color w:val="000000" w:themeColor="text1"/>
                      <w:sz w:val="18"/>
                      <w:szCs w:val="18"/>
                    </w:rPr>
                  </w:pPr>
                  <w:r>
                    <w:rPr>
                      <w:color w:val="000000" w:themeColor="text1"/>
                      <w:sz w:val="18"/>
                      <w:szCs w:val="18"/>
                    </w:rPr>
                    <w:t>2</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restart"/>
                </w:tcPr>
                <w:p>
                  <w:pPr>
                    <w:pStyle w:val="10"/>
                    <w:adjustRightInd w:val="0"/>
                    <w:snapToGrid w:val="0"/>
                    <w:ind w:firstLine="0" w:firstLineChars="0"/>
                    <w:rPr>
                      <w:rFonts w:ascii="宋体"/>
                      <w:color w:val="000000" w:themeColor="text1"/>
                      <w:sz w:val="18"/>
                      <w:szCs w:val="18"/>
                    </w:rPr>
                  </w:pPr>
                  <w:r>
                    <w:rPr>
                      <w:rFonts w:hint="eastAsia" w:ascii="宋体"/>
                      <w:color w:val="000000" w:themeColor="text1"/>
                      <w:sz w:val="18"/>
                      <w:szCs w:val="18"/>
                    </w:rPr>
                    <w:t>中华文化传播与跨文化类</w:t>
                  </w:r>
                </w:p>
              </w:tc>
              <w:tc>
                <w:tcPr>
                  <w:tcW w:w="1080" w:type="dxa"/>
                </w:tcPr>
                <w:p>
                  <w:pPr>
                    <w:pStyle w:val="10"/>
                    <w:adjustRightInd w:val="0"/>
                    <w:snapToGrid w:val="0"/>
                    <w:ind w:firstLine="0" w:firstLineChars="0"/>
                    <w:rPr>
                      <w:rFonts w:ascii="宋体"/>
                      <w:color w:val="000000" w:themeColor="text1"/>
                      <w:sz w:val="18"/>
                      <w:szCs w:val="18"/>
                    </w:rPr>
                  </w:pPr>
                  <w:r>
                    <w:rPr>
                      <w:rFonts w:hint="eastAsia"/>
                      <w:color w:val="000000" w:themeColor="text1"/>
                      <w:sz w:val="15"/>
                      <w:szCs w:val="15"/>
                    </w:rPr>
                    <w:t>1504532009</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中国思想</w:t>
                  </w:r>
                  <w:r>
                    <w:rPr>
                      <w:rFonts w:hint="eastAsia" w:ascii="宋体" w:hAnsi="宋体" w:cs="宋体"/>
                      <w:color w:val="000000" w:themeColor="text1"/>
                      <w:kern w:val="0"/>
                      <w:sz w:val="18"/>
                      <w:szCs w:val="18"/>
                    </w:rPr>
                    <w:t>文化</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1</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1504531018</w:t>
                  </w:r>
                </w:p>
              </w:tc>
              <w:tc>
                <w:tcPr>
                  <w:tcW w:w="1968" w:type="dxa"/>
                  <w:vAlign w:val="center"/>
                </w:tcPr>
                <w:p>
                  <w:pPr>
                    <w:pStyle w:val="10"/>
                    <w:adjustRightInd w:val="0"/>
                    <w:snapToGrid w:val="0"/>
                    <w:ind w:firstLine="0" w:firstLineChars="0"/>
                    <w:rPr>
                      <w:rFonts w:ascii="宋体"/>
                      <w:color w:val="000000" w:themeColor="text1"/>
                      <w:sz w:val="18"/>
                      <w:szCs w:val="18"/>
                    </w:rPr>
                  </w:pPr>
                  <w:r>
                    <w:rPr>
                      <w:rFonts w:hint="eastAsia" w:ascii="宋体" w:hAnsi="宋体" w:cs="宋体"/>
                      <w:color w:val="000000" w:themeColor="text1"/>
                      <w:kern w:val="0"/>
                      <w:sz w:val="18"/>
                      <w:szCs w:val="18"/>
                    </w:rPr>
                    <w:t>涉外礼仪</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tcPr>
                <w:p>
                  <w:pPr>
                    <w:jc w:val="center"/>
                    <w:rPr>
                      <w:color w:val="000000" w:themeColor="text1"/>
                      <w:sz w:val="18"/>
                      <w:szCs w:val="18"/>
                    </w:rPr>
                  </w:pPr>
                  <w:r>
                    <w:rPr>
                      <w:color w:val="000000" w:themeColor="text1"/>
                      <w:sz w:val="18"/>
                      <w:szCs w:val="18"/>
                    </w:rPr>
                    <w:t>2</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20"/>
                    <w:adjustRightInd w:val="0"/>
                    <w:snapToGrid w:val="0"/>
                    <w:spacing w:before="0" w:beforeAutospacing="0" w:after="0" w:afterAutospacing="0"/>
                    <w:rPr>
                      <w:rFonts w:cs="Times New Roman"/>
                      <w:color w:val="000000" w:themeColor="text1"/>
                      <w:sz w:val="21"/>
                      <w:szCs w:val="21"/>
                    </w:rPr>
                  </w:pPr>
                </w:p>
              </w:tc>
              <w:tc>
                <w:tcPr>
                  <w:tcW w:w="1080" w:type="dxa"/>
                </w:tcPr>
                <w:p>
                  <w:pPr>
                    <w:pStyle w:val="10"/>
                    <w:adjustRightInd w:val="0"/>
                    <w:snapToGrid w:val="0"/>
                    <w:ind w:firstLine="0" w:firstLineChars="0"/>
                    <w:rPr>
                      <w:color w:val="000000" w:themeColor="text1"/>
                      <w:sz w:val="15"/>
                      <w:szCs w:val="15"/>
                    </w:rPr>
                  </w:pPr>
                </w:p>
                <w:p>
                  <w:pPr>
                    <w:pStyle w:val="10"/>
                    <w:adjustRightInd w:val="0"/>
                    <w:snapToGrid w:val="0"/>
                    <w:ind w:firstLine="0" w:firstLineChars="0"/>
                    <w:rPr>
                      <w:color w:val="000000" w:themeColor="text1"/>
                      <w:sz w:val="21"/>
                      <w:szCs w:val="21"/>
                    </w:rPr>
                  </w:pPr>
                  <w:r>
                    <w:rPr>
                      <w:rFonts w:hint="eastAsia"/>
                      <w:color w:val="000000" w:themeColor="text1"/>
                      <w:sz w:val="15"/>
                      <w:szCs w:val="15"/>
                    </w:rPr>
                    <w:t>1504531011</w:t>
                  </w:r>
                </w:p>
              </w:tc>
              <w:tc>
                <w:tcPr>
                  <w:tcW w:w="1968" w:type="dxa"/>
                  <w:vAlign w:val="center"/>
                </w:tcPr>
                <w:p>
                  <w:pPr>
                    <w:pStyle w:val="20"/>
                    <w:adjustRightInd w:val="0"/>
                    <w:snapToGrid w:val="0"/>
                    <w:spacing w:before="0" w:beforeAutospacing="0" w:after="0" w:afterAutospacing="0"/>
                    <w:rPr>
                      <w:rFonts w:cs="Times New Roman"/>
                      <w:color w:val="000000" w:themeColor="text1"/>
                      <w:sz w:val="18"/>
                      <w:szCs w:val="18"/>
                    </w:rPr>
                  </w:pPr>
                  <w:r>
                    <w:rPr>
                      <w:rFonts w:hint="eastAsia"/>
                      <w:color w:val="000000" w:themeColor="text1"/>
                      <w:sz w:val="18"/>
                      <w:szCs w:val="18"/>
                    </w:rPr>
                    <w:t>欧美语言文化研究</w:t>
                  </w:r>
                </w:p>
              </w:tc>
              <w:tc>
                <w:tcPr>
                  <w:tcW w:w="708"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w:t>
                  </w:r>
                </w:p>
              </w:tc>
              <w:tc>
                <w:tcPr>
                  <w:tcW w:w="567"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rPr>
                    <w:t>1</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20"/>
                    <w:adjustRightInd w:val="0"/>
                    <w:snapToGrid w:val="0"/>
                    <w:spacing w:before="0" w:beforeAutospacing="0" w:after="0" w:afterAutospacing="0"/>
                    <w:rPr>
                      <w:rFonts w:cs="Times New Roman"/>
                      <w:color w:val="000000" w:themeColor="text1"/>
                      <w:sz w:val="21"/>
                      <w:szCs w:val="21"/>
                    </w:rPr>
                  </w:pPr>
                </w:p>
              </w:tc>
              <w:tc>
                <w:tcPr>
                  <w:tcW w:w="1080" w:type="dxa"/>
                  <w:vAlign w:val="center"/>
                </w:tcPr>
                <w:p>
                  <w:pPr>
                    <w:adjustRightInd w:val="0"/>
                    <w:snapToGrid w:val="0"/>
                    <w:rPr>
                      <w:color w:val="000000" w:themeColor="text1"/>
                      <w:sz w:val="15"/>
                      <w:szCs w:val="15"/>
                    </w:rPr>
                  </w:pPr>
                  <w:r>
                    <w:rPr>
                      <w:rFonts w:hint="eastAsia"/>
                      <w:color w:val="000000" w:themeColor="text1"/>
                      <w:sz w:val="15"/>
                      <w:szCs w:val="15"/>
                    </w:rPr>
                    <w:t>0000121003</w:t>
                  </w:r>
                </w:p>
              </w:tc>
              <w:tc>
                <w:tcPr>
                  <w:tcW w:w="1968" w:type="dxa"/>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中国传统文化评析</w:t>
                  </w:r>
                </w:p>
              </w:tc>
              <w:tc>
                <w:tcPr>
                  <w:tcW w:w="708" w:type="dxa"/>
                  <w:vAlign w:val="center"/>
                </w:tcPr>
                <w:p>
                  <w:pPr>
                    <w:adjustRightInd w:val="0"/>
                    <w:snapToGrid w:val="0"/>
                    <w:jc w:val="center"/>
                    <w:rPr>
                      <w:color w:val="000000" w:themeColor="text1"/>
                      <w:sz w:val="18"/>
                      <w:szCs w:val="18"/>
                    </w:rPr>
                  </w:pPr>
                  <w:r>
                    <w:rPr>
                      <w:rFonts w:hint="eastAsia"/>
                      <w:color w:val="000000" w:themeColor="text1"/>
                      <w:sz w:val="18"/>
                      <w:szCs w:val="18"/>
                    </w:rPr>
                    <w:t>16</w:t>
                  </w:r>
                </w:p>
              </w:tc>
              <w:tc>
                <w:tcPr>
                  <w:tcW w:w="567" w:type="dxa"/>
                  <w:vAlign w:val="center"/>
                </w:tcPr>
                <w:p>
                  <w:pPr>
                    <w:adjustRightInd w:val="0"/>
                    <w:snapToGrid w:val="0"/>
                    <w:jc w:val="center"/>
                    <w:rPr>
                      <w:color w:val="000000" w:themeColor="text1"/>
                      <w:sz w:val="18"/>
                      <w:szCs w:val="18"/>
                    </w:rPr>
                  </w:pPr>
                  <w:r>
                    <w:rPr>
                      <w:rFonts w:hint="eastAsia"/>
                      <w:color w:val="000000" w:themeColor="text1"/>
                      <w:sz w:val="18"/>
                      <w:szCs w:val="18"/>
                    </w:rPr>
                    <w:t>1</w:t>
                  </w:r>
                </w:p>
              </w:tc>
              <w:tc>
                <w:tcPr>
                  <w:tcW w:w="709" w:type="dxa"/>
                  <w:vAlign w:val="center"/>
                </w:tcPr>
                <w:p>
                  <w:pPr>
                    <w:adjustRightInd w:val="0"/>
                    <w:snapToGrid w:val="0"/>
                    <w:jc w:val="center"/>
                    <w:rPr>
                      <w:color w:val="000000" w:themeColor="text1"/>
                      <w:sz w:val="18"/>
                      <w:szCs w:val="18"/>
                    </w:rPr>
                  </w:pPr>
                  <w:r>
                    <w:rPr>
                      <w:rFonts w:hint="eastAsia"/>
                      <w:color w:val="000000" w:themeColor="text1"/>
                      <w:sz w:val="18"/>
                      <w:szCs w:val="18"/>
                    </w:rPr>
                    <w:t>1</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int="eastAsia"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restart"/>
                </w:tcPr>
                <w:p>
                  <w:pPr>
                    <w:pStyle w:val="10"/>
                    <w:adjustRightInd w:val="0"/>
                    <w:snapToGrid w:val="0"/>
                    <w:ind w:firstLine="0" w:firstLineChars="0"/>
                    <w:rPr>
                      <w:rFonts w:ascii="宋体"/>
                      <w:color w:val="000000" w:themeColor="text1"/>
                      <w:sz w:val="18"/>
                      <w:szCs w:val="18"/>
                    </w:rPr>
                  </w:pPr>
                  <w:r>
                    <w:rPr>
                      <w:rFonts w:hint="eastAsia" w:ascii="宋体"/>
                      <w:color w:val="000000" w:themeColor="text1"/>
                      <w:sz w:val="18"/>
                      <w:szCs w:val="18"/>
                    </w:rPr>
                    <w:t>教育与教学管理 类</w:t>
                  </w:r>
                </w:p>
              </w:tc>
              <w:tc>
                <w:tcPr>
                  <w:tcW w:w="1080" w:type="dxa"/>
                  <w:vAlign w:val="center"/>
                </w:tcPr>
                <w:p>
                  <w:pPr>
                    <w:pStyle w:val="10"/>
                    <w:adjustRightInd w:val="0"/>
                    <w:snapToGrid w:val="0"/>
                    <w:ind w:firstLine="0" w:firstLineChars="0"/>
                    <w:rPr>
                      <w:rFonts w:ascii="宋体"/>
                      <w:color w:val="000000" w:themeColor="text1"/>
                      <w:sz w:val="18"/>
                      <w:szCs w:val="18"/>
                    </w:rPr>
                  </w:pPr>
                  <w:r>
                    <w:rPr>
                      <w:rFonts w:hint="eastAsia"/>
                      <w:color w:val="000000" w:themeColor="text1"/>
                      <w:sz w:val="15"/>
                      <w:szCs w:val="15"/>
                    </w:rPr>
                    <w:t>1504532012</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外语教育心理学</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adjustRightInd w:val="0"/>
                    <w:snapToGrid w:val="0"/>
                    <w:rPr>
                      <w:color w:val="000000" w:themeColor="text1"/>
                      <w:sz w:val="15"/>
                      <w:szCs w:val="15"/>
                    </w:rPr>
                  </w:pPr>
                </w:p>
              </w:tc>
              <w:tc>
                <w:tcPr>
                  <w:tcW w:w="1080" w:type="dxa"/>
                  <w:vAlign w:val="center"/>
                </w:tcPr>
                <w:p>
                  <w:pPr>
                    <w:pStyle w:val="10"/>
                    <w:adjustRightInd w:val="0"/>
                    <w:snapToGrid w:val="0"/>
                    <w:ind w:firstLine="0" w:firstLineChars="0"/>
                    <w:rPr>
                      <w:rFonts w:ascii="宋体" w:hAnsi="宋体" w:cs="宋体"/>
                      <w:color w:val="000000" w:themeColor="text1"/>
                      <w:kern w:val="0"/>
                      <w:sz w:val="21"/>
                      <w:szCs w:val="21"/>
                    </w:rPr>
                  </w:pPr>
                  <w:r>
                    <w:rPr>
                      <w:rFonts w:hint="eastAsia"/>
                      <w:color w:val="000000" w:themeColor="text1"/>
                      <w:sz w:val="15"/>
                      <w:szCs w:val="15"/>
                    </w:rPr>
                    <w:t>150453101</w:t>
                  </w:r>
                  <w:r>
                    <w:rPr>
                      <w:color w:val="000000" w:themeColor="text1"/>
                      <w:sz w:val="15"/>
                      <w:szCs w:val="15"/>
                    </w:rPr>
                    <w:t>7</w:t>
                  </w:r>
                </w:p>
              </w:tc>
              <w:tc>
                <w:tcPr>
                  <w:tcW w:w="1968" w:type="dxa"/>
                  <w:vAlign w:val="center"/>
                </w:tcPr>
                <w:p>
                  <w:pPr>
                    <w:pStyle w:val="10"/>
                    <w:adjustRightInd w:val="0"/>
                    <w:snapToGrid w:val="0"/>
                    <w:ind w:firstLine="0" w:firstLineChars="0"/>
                    <w:rPr>
                      <w:rFonts w:ascii="宋体" w:hAnsi="宋体" w:cs="宋体"/>
                      <w:color w:val="000000" w:themeColor="text1"/>
                      <w:kern w:val="0"/>
                      <w:sz w:val="18"/>
                      <w:szCs w:val="18"/>
                    </w:rPr>
                  </w:pPr>
                  <w:r>
                    <w:rPr>
                      <w:rFonts w:hint="eastAsia" w:ascii="宋体" w:hAnsi="宋体" w:cs="宋体"/>
                      <w:color w:val="000000" w:themeColor="text1"/>
                      <w:kern w:val="0"/>
                      <w:sz w:val="18"/>
                      <w:szCs w:val="18"/>
                    </w:rPr>
                    <w:t>国外中小学教育</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jc w:val="center"/>
                    <w:rPr>
                      <w:color w:val="000000" w:themeColor="text1"/>
                      <w:sz w:val="18"/>
                      <w:szCs w:val="18"/>
                    </w:rPr>
                  </w:pPr>
                  <w:r>
                    <w:rPr>
                      <w:rFonts w:hint="eastAsia"/>
                      <w:color w:val="000000" w:themeColor="text1"/>
                      <w:sz w:val="18"/>
                      <w:szCs w:val="18"/>
                    </w:rPr>
                    <w:t>1</w:t>
                  </w:r>
                </w:p>
              </w:tc>
              <w:tc>
                <w:tcPr>
                  <w:tcW w:w="851" w:type="dxa"/>
                  <w:vAlign w:val="center"/>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adjustRightInd w:val="0"/>
                    <w:snapToGrid w:val="0"/>
                    <w:rPr>
                      <w:color w:val="000000" w:themeColor="text1"/>
                      <w:sz w:val="15"/>
                      <w:szCs w:val="15"/>
                    </w:rPr>
                  </w:pPr>
                </w:p>
              </w:tc>
              <w:tc>
                <w:tcPr>
                  <w:tcW w:w="1080" w:type="dxa"/>
                </w:tcPr>
                <w:p>
                  <w:pPr>
                    <w:adjustRightInd w:val="0"/>
                    <w:snapToGrid w:val="0"/>
                    <w:rPr>
                      <w:color w:val="000000" w:themeColor="text1"/>
                      <w:sz w:val="15"/>
                      <w:szCs w:val="15"/>
                    </w:rPr>
                  </w:pPr>
                  <w:r>
                    <w:rPr>
                      <w:rFonts w:hint="eastAsia"/>
                      <w:color w:val="000000" w:themeColor="text1"/>
                      <w:sz w:val="15"/>
                      <w:szCs w:val="15"/>
                    </w:rPr>
                    <w:t>1504531014</w:t>
                  </w:r>
                </w:p>
              </w:tc>
              <w:tc>
                <w:tcPr>
                  <w:tcW w:w="1968" w:type="dxa"/>
                  <w:vAlign w:val="center"/>
                </w:tcPr>
                <w:p>
                  <w:pPr>
                    <w:pStyle w:val="10"/>
                    <w:adjustRightInd w:val="0"/>
                    <w:snapToGrid w:val="0"/>
                    <w:ind w:firstLine="0" w:firstLineChars="0"/>
                    <w:rPr>
                      <w:rFonts w:ascii="宋体" w:hAnsi="宋体" w:cs="宋体"/>
                      <w:color w:val="000000" w:themeColor="text1"/>
                      <w:kern w:val="0"/>
                      <w:sz w:val="18"/>
                      <w:szCs w:val="18"/>
                    </w:rPr>
                  </w:pPr>
                  <w:r>
                    <w:rPr>
                      <w:rFonts w:ascii="宋体" w:hAnsi="宋体" w:cs="宋体"/>
                      <w:color w:val="000000" w:themeColor="text1"/>
                      <w:kern w:val="0"/>
                      <w:sz w:val="18"/>
                      <w:szCs w:val="18"/>
                    </w:rPr>
                    <w:t>汉语国际推广专题</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tcPr>
                <w:p>
                  <w:pPr>
                    <w:jc w:val="center"/>
                    <w:rPr>
                      <w:color w:val="000000" w:themeColor="text1"/>
                      <w:sz w:val="18"/>
                      <w:szCs w:val="18"/>
                    </w:rPr>
                  </w:pPr>
                  <w:r>
                    <w:rPr>
                      <w:color w:val="000000" w:themeColor="text1"/>
                      <w:sz w:val="18"/>
                      <w:szCs w:val="18"/>
                    </w:rPr>
                    <w:t>1-2</w:t>
                  </w:r>
                </w:p>
              </w:tc>
              <w:tc>
                <w:tcPr>
                  <w:tcW w:w="851" w:type="dxa"/>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 w:val="18"/>
                      <w:szCs w:val="18"/>
                    </w:rPr>
                  </w:pPr>
                </w:p>
              </w:tc>
              <w:tc>
                <w:tcPr>
                  <w:tcW w:w="360"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训练课程</w:t>
                  </w:r>
                </w:p>
              </w:tc>
              <w:tc>
                <w:tcPr>
                  <w:tcW w:w="720" w:type="dxa"/>
                </w:tcPr>
                <w:p>
                  <w:pPr>
                    <w:adjustRightInd w:val="0"/>
                    <w:snapToGrid w:val="0"/>
                    <w:rPr>
                      <w:color w:val="000000" w:themeColor="text1"/>
                      <w:sz w:val="15"/>
                      <w:szCs w:val="15"/>
                    </w:rPr>
                  </w:pPr>
                  <w:r>
                    <w:rPr>
                      <w:rFonts w:hint="eastAsia"/>
                      <w:color w:val="000000" w:themeColor="text1"/>
                      <w:sz w:val="15"/>
                      <w:szCs w:val="15"/>
                    </w:rPr>
                    <w:t>1504533015</w:t>
                  </w:r>
                </w:p>
              </w:tc>
              <w:tc>
                <w:tcPr>
                  <w:tcW w:w="3048" w:type="dxa"/>
                  <w:gridSpan w:val="2"/>
                  <w:vAlign w:val="center"/>
                </w:tcPr>
                <w:p>
                  <w:pPr>
                    <w:adjustRightInd w:val="0"/>
                    <w:snapToGrid w:val="0"/>
                    <w:rPr>
                      <w:rFonts w:ascii="宋体"/>
                      <w:color w:val="000000" w:themeColor="text1"/>
                      <w:sz w:val="18"/>
                      <w:szCs w:val="18"/>
                    </w:rPr>
                  </w:pPr>
                  <w:r>
                    <w:rPr>
                      <w:rFonts w:hint="eastAsia" w:ascii="宋体" w:hAnsi="宋体" w:cs="宋体"/>
                      <w:color w:val="000000" w:themeColor="text1"/>
                      <w:kern w:val="0"/>
                      <w:sz w:val="18"/>
                      <w:szCs w:val="18"/>
                    </w:rPr>
                    <w:t>课程设计与实践（</w:t>
                  </w:r>
                  <w:r>
                    <w:rPr>
                      <w:rFonts w:ascii="宋体" w:hAnsi="宋体" w:cs="宋体"/>
                      <w:color w:val="000000" w:themeColor="text1"/>
                      <w:kern w:val="0"/>
                      <w:sz w:val="18"/>
                      <w:szCs w:val="18"/>
                    </w:rPr>
                    <w:t>教学调查与分析</w:t>
                  </w:r>
                  <w:r>
                    <w:rPr>
                      <w:rFonts w:hint="eastAsia" w:ascii="宋体" w:hAnsi="宋体" w:cs="宋体"/>
                      <w:color w:val="000000" w:themeColor="text1"/>
                      <w:kern w:val="0"/>
                      <w:sz w:val="18"/>
                      <w:szCs w:val="18"/>
                    </w:rPr>
                    <w:t>、</w:t>
                  </w:r>
                  <w:r>
                    <w:rPr>
                      <w:rFonts w:ascii="宋体" w:hAnsi="宋体" w:cs="宋体"/>
                      <w:color w:val="000000" w:themeColor="text1"/>
                      <w:kern w:val="0"/>
                      <w:sz w:val="18"/>
                      <w:szCs w:val="18"/>
                    </w:rPr>
                    <w:t>课堂观察与实践</w:t>
                  </w:r>
                  <w:r>
                    <w:rPr>
                      <w:rFonts w:hint="eastAsia" w:ascii="宋体" w:hAnsi="宋体" w:cs="宋体"/>
                      <w:color w:val="000000" w:themeColor="text1"/>
                      <w:kern w:val="0"/>
                      <w:sz w:val="18"/>
                      <w:szCs w:val="18"/>
                    </w:rPr>
                    <w:t>、</w:t>
                  </w:r>
                  <w:r>
                    <w:rPr>
                      <w:rFonts w:ascii="宋体" w:hAnsi="宋体" w:cs="宋体"/>
                      <w:color w:val="000000" w:themeColor="text1"/>
                      <w:kern w:val="0"/>
                      <w:sz w:val="18"/>
                      <w:szCs w:val="18"/>
                    </w:rPr>
                    <w:t>教学测试与评估</w:t>
                  </w:r>
                  <w:r>
                    <w:rPr>
                      <w:rFonts w:hint="eastAsia" w:ascii="宋体" w:hAnsi="宋体" w:cs="宋体"/>
                      <w:color w:val="000000" w:themeColor="text1"/>
                      <w:kern w:val="0"/>
                      <w:sz w:val="18"/>
                      <w:szCs w:val="18"/>
                    </w:rPr>
                    <w:t>）</w:t>
                  </w:r>
                </w:p>
              </w:tc>
              <w:tc>
                <w:tcPr>
                  <w:tcW w:w="708" w:type="dxa"/>
                  <w:vAlign w:val="center"/>
                </w:tcPr>
                <w:p>
                  <w:pPr>
                    <w:pStyle w:val="10"/>
                    <w:adjustRightInd w:val="0"/>
                    <w:snapToGrid w:val="0"/>
                    <w:ind w:firstLine="0" w:firstLineChars="0"/>
                    <w:jc w:val="center"/>
                    <w:rPr>
                      <w:rFonts w:eastAsia="宋体"/>
                      <w:color w:val="000000" w:themeColor="text1"/>
                      <w:sz w:val="18"/>
                      <w:szCs w:val="18"/>
                    </w:rPr>
                  </w:pPr>
                  <w:r>
                    <w:rPr>
                      <w:rFonts w:hint="eastAsia"/>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3</w:t>
                  </w:r>
                </w:p>
              </w:tc>
              <w:tc>
                <w:tcPr>
                  <w:tcW w:w="709"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1-3</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必选</w:t>
                  </w:r>
                </w:p>
                <w:p>
                  <w:pPr>
                    <w:adjustRightInd w:val="0"/>
                    <w:snapToGrid w:val="0"/>
                    <w:rPr>
                      <w:rFonts w:ascii="宋体"/>
                      <w:color w:val="000000" w:themeColor="text1"/>
                      <w:sz w:val="18"/>
                      <w:szCs w:val="18"/>
                    </w:rPr>
                  </w:pPr>
                  <w:r>
                    <w:rPr>
                      <w:color w:val="000000" w:themeColor="text1"/>
                      <w:sz w:val="18"/>
                      <w:szCs w:val="18"/>
                    </w:rPr>
                    <w:t>4</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1504531016</w:t>
                  </w:r>
                </w:p>
              </w:tc>
              <w:tc>
                <w:tcPr>
                  <w:tcW w:w="3048" w:type="dxa"/>
                  <w:gridSpan w:val="2"/>
                  <w:vAlign w:val="center"/>
                </w:tcPr>
                <w:p>
                  <w:pPr>
                    <w:adjustRightInd w:val="0"/>
                    <w:snapToGrid w:val="0"/>
                    <w:rPr>
                      <w:rFonts w:ascii="宋体" w:hAnsi="宋体" w:cs="宋体"/>
                      <w:color w:val="000000" w:themeColor="text1"/>
                      <w:kern w:val="0"/>
                      <w:sz w:val="18"/>
                      <w:szCs w:val="18"/>
                    </w:rPr>
                  </w:pPr>
                  <w:r>
                    <w:rPr>
                      <w:rFonts w:ascii="宋体" w:hAnsi="宋体" w:cs="宋体"/>
                      <w:color w:val="000000" w:themeColor="text1"/>
                      <w:kern w:val="0"/>
                      <w:sz w:val="18"/>
                      <w:szCs w:val="18"/>
                    </w:rPr>
                    <w:t>中华文化才艺与展示</w:t>
                  </w:r>
                </w:p>
              </w:tc>
              <w:tc>
                <w:tcPr>
                  <w:tcW w:w="708"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1</w:t>
                  </w:r>
                </w:p>
              </w:tc>
              <w:tc>
                <w:tcPr>
                  <w:tcW w:w="709" w:type="dxa"/>
                  <w:vAlign w:val="center"/>
                </w:tcPr>
                <w:p>
                  <w:pPr>
                    <w:jc w:val="center"/>
                    <w:rPr>
                      <w:color w:val="000000" w:themeColor="text1"/>
                      <w:sz w:val="18"/>
                      <w:szCs w:val="18"/>
                    </w:rPr>
                  </w:pPr>
                  <w:r>
                    <w:rPr>
                      <w:color w:val="000000" w:themeColor="text1"/>
                      <w:sz w:val="18"/>
                      <w:szCs w:val="18"/>
                    </w:rPr>
                    <w:t>2</w:t>
                  </w:r>
                </w:p>
              </w:tc>
              <w:tc>
                <w:tcPr>
                  <w:tcW w:w="851" w:type="dxa"/>
                  <w:vAlign w:val="center"/>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公共选修课</w:t>
                  </w:r>
                </w:p>
              </w:tc>
              <w:tc>
                <w:tcPr>
                  <w:tcW w:w="720" w:type="dxa"/>
                  <w:vAlign w:val="center"/>
                </w:tcPr>
                <w:p>
                  <w:pPr>
                    <w:adjustRightInd w:val="0"/>
                    <w:snapToGrid w:val="0"/>
                    <w:jc w:val="center"/>
                    <w:rPr>
                      <w:color w:val="000000" w:themeColor="text1"/>
                      <w:sz w:val="15"/>
                      <w:szCs w:val="15"/>
                    </w:rPr>
                  </w:pPr>
                  <w:r>
                    <w:rPr>
                      <w:rFonts w:hint="eastAsia"/>
                      <w:color w:val="000000" w:themeColor="text1"/>
                      <w:sz w:val="15"/>
                      <w:szCs w:val="15"/>
                    </w:rPr>
                    <w:t>0000161001</w:t>
                  </w:r>
                </w:p>
              </w:tc>
              <w:tc>
                <w:tcPr>
                  <w:tcW w:w="3048" w:type="dxa"/>
                  <w:gridSpan w:val="2"/>
                  <w:vAlign w:val="center"/>
                </w:tcPr>
                <w:p>
                  <w:pPr>
                    <w:pStyle w:val="10"/>
                    <w:adjustRightInd w:val="0"/>
                    <w:snapToGrid w:val="0"/>
                    <w:ind w:firstLine="0" w:firstLineChars="0"/>
                    <w:rPr>
                      <w:color w:val="000000" w:themeColor="text1"/>
                      <w:sz w:val="18"/>
                      <w:szCs w:val="18"/>
                    </w:rPr>
                  </w:pPr>
                  <w:r>
                    <w:rPr>
                      <w:rFonts w:hint="eastAsia"/>
                      <w:color w:val="000000" w:themeColor="text1"/>
                      <w:sz w:val="18"/>
                      <w:szCs w:val="18"/>
                    </w:rPr>
                    <w:t>信息检索</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pStyle w:val="10"/>
                    <w:adjustRightInd w:val="0"/>
                    <w:snapToGrid w:val="0"/>
                    <w:ind w:firstLine="0" w:firstLineChars="0"/>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可选修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jc w:val="center"/>
                    <w:rPr>
                      <w:color w:val="000000" w:themeColor="text1"/>
                      <w:sz w:val="15"/>
                      <w:szCs w:val="15"/>
                    </w:rPr>
                  </w:pPr>
                  <w:r>
                    <w:rPr>
                      <w:color w:val="000000" w:themeColor="text1"/>
                      <w:sz w:val="15"/>
                      <w:szCs w:val="15"/>
                    </w:rPr>
                    <w:t>0000</w:t>
                  </w:r>
                  <w:r>
                    <w:rPr>
                      <w:rFonts w:hint="eastAsia"/>
                      <w:color w:val="000000" w:themeColor="text1"/>
                      <w:sz w:val="15"/>
                      <w:szCs w:val="15"/>
                    </w:rPr>
                    <w:t>09</w:t>
                  </w:r>
                  <w:r>
                    <w:rPr>
                      <w:color w:val="000000" w:themeColor="text1"/>
                      <w:sz w:val="15"/>
                      <w:szCs w:val="15"/>
                    </w:rPr>
                    <w:t>200</w:t>
                  </w:r>
                  <w:r>
                    <w:rPr>
                      <w:rFonts w:hint="eastAsia"/>
                      <w:color w:val="000000" w:themeColor="text1"/>
                      <w:sz w:val="15"/>
                      <w:szCs w:val="15"/>
                    </w:rPr>
                    <w:t>4</w:t>
                  </w:r>
                </w:p>
              </w:tc>
              <w:tc>
                <w:tcPr>
                  <w:tcW w:w="3048" w:type="dxa"/>
                  <w:gridSpan w:val="2"/>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二外</w:t>
                  </w:r>
                  <w:r>
                    <w:rPr>
                      <w:rFonts w:hAnsi="宋体"/>
                      <w:color w:val="000000" w:themeColor="text1"/>
                      <w:sz w:val="18"/>
                      <w:szCs w:val="18"/>
                    </w:rPr>
                    <w:t>德语</w:t>
                  </w:r>
                </w:p>
              </w:tc>
              <w:tc>
                <w:tcPr>
                  <w:tcW w:w="708" w:type="dxa"/>
                  <w:vAlign w:val="center"/>
                </w:tcPr>
                <w:p>
                  <w:pPr>
                    <w:adjustRightInd w:val="0"/>
                    <w:snapToGrid w:val="0"/>
                    <w:jc w:val="center"/>
                    <w:rPr>
                      <w:color w:val="000000" w:themeColor="text1"/>
                      <w:sz w:val="18"/>
                      <w:szCs w:val="18"/>
                    </w:rPr>
                  </w:pPr>
                  <w:r>
                    <w:rPr>
                      <w:color w:val="000000" w:themeColor="text1"/>
                      <w:sz w:val="18"/>
                      <w:szCs w:val="18"/>
                    </w:rPr>
                    <w:t>64</w:t>
                  </w:r>
                </w:p>
              </w:tc>
              <w:tc>
                <w:tcPr>
                  <w:tcW w:w="567" w:type="dxa"/>
                  <w:vAlign w:val="center"/>
                </w:tcPr>
                <w:p>
                  <w:pPr>
                    <w:adjustRightInd w:val="0"/>
                    <w:snapToGrid w:val="0"/>
                    <w:jc w:val="center"/>
                    <w:rPr>
                      <w:color w:val="000000" w:themeColor="text1"/>
                      <w:sz w:val="18"/>
                      <w:szCs w:val="18"/>
                    </w:rPr>
                  </w:pPr>
                  <w:r>
                    <w:rPr>
                      <w:color w:val="000000" w:themeColor="text1"/>
                      <w:sz w:val="18"/>
                      <w:szCs w:val="18"/>
                    </w:rPr>
                    <w:t>2</w:t>
                  </w:r>
                </w:p>
              </w:tc>
              <w:tc>
                <w:tcPr>
                  <w:tcW w:w="709" w:type="dxa"/>
                  <w:vAlign w:val="center"/>
                </w:tcPr>
                <w:p>
                  <w:pPr>
                    <w:adjustRightInd w:val="0"/>
                    <w:snapToGrid w:val="0"/>
                    <w:jc w:val="center"/>
                    <w:rPr>
                      <w:color w:val="000000" w:themeColor="text1"/>
                      <w:sz w:val="18"/>
                      <w:szCs w:val="18"/>
                    </w:rPr>
                  </w:pPr>
                  <w:r>
                    <w:rPr>
                      <w:color w:val="000000" w:themeColor="text1"/>
                      <w:sz w:val="18"/>
                      <w:szCs w:val="18"/>
                    </w:rPr>
                    <w:t>1-2</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jc w:val="center"/>
                    <w:rPr>
                      <w:color w:val="000000" w:themeColor="text1"/>
                      <w:sz w:val="15"/>
                      <w:szCs w:val="15"/>
                    </w:rPr>
                  </w:pPr>
                  <w:r>
                    <w:rPr>
                      <w:color w:val="000000" w:themeColor="text1"/>
                      <w:sz w:val="15"/>
                      <w:szCs w:val="15"/>
                    </w:rPr>
                    <w:t>0000</w:t>
                  </w:r>
                  <w:r>
                    <w:rPr>
                      <w:rFonts w:hint="eastAsia"/>
                      <w:color w:val="000000" w:themeColor="text1"/>
                      <w:sz w:val="15"/>
                      <w:szCs w:val="15"/>
                    </w:rPr>
                    <w:t>09</w:t>
                  </w:r>
                  <w:r>
                    <w:rPr>
                      <w:color w:val="000000" w:themeColor="text1"/>
                      <w:sz w:val="15"/>
                      <w:szCs w:val="15"/>
                    </w:rPr>
                    <w:t>200</w:t>
                  </w:r>
                  <w:r>
                    <w:rPr>
                      <w:rFonts w:hint="eastAsia"/>
                      <w:color w:val="000000" w:themeColor="text1"/>
                      <w:sz w:val="15"/>
                      <w:szCs w:val="15"/>
                    </w:rPr>
                    <w:t>3</w:t>
                  </w:r>
                </w:p>
              </w:tc>
              <w:tc>
                <w:tcPr>
                  <w:tcW w:w="3048" w:type="dxa"/>
                  <w:gridSpan w:val="2"/>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二外日</w:t>
                  </w:r>
                  <w:r>
                    <w:rPr>
                      <w:rFonts w:hAnsi="宋体"/>
                      <w:color w:val="000000" w:themeColor="text1"/>
                      <w:sz w:val="18"/>
                      <w:szCs w:val="18"/>
                    </w:rPr>
                    <w:t>语</w:t>
                  </w:r>
                </w:p>
              </w:tc>
              <w:tc>
                <w:tcPr>
                  <w:tcW w:w="708" w:type="dxa"/>
                  <w:vAlign w:val="center"/>
                </w:tcPr>
                <w:p>
                  <w:pPr>
                    <w:adjustRightInd w:val="0"/>
                    <w:snapToGrid w:val="0"/>
                    <w:jc w:val="center"/>
                    <w:rPr>
                      <w:color w:val="000000" w:themeColor="text1"/>
                      <w:sz w:val="18"/>
                      <w:szCs w:val="18"/>
                    </w:rPr>
                  </w:pPr>
                  <w:r>
                    <w:rPr>
                      <w:color w:val="000000" w:themeColor="text1"/>
                      <w:sz w:val="18"/>
                      <w:szCs w:val="18"/>
                    </w:rPr>
                    <w:t>64</w:t>
                  </w:r>
                </w:p>
              </w:tc>
              <w:tc>
                <w:tcPr>
                  <w:tcW w:w="567" w:type="dxa"/>
                  <w:vAlign w:val="center"/>
                </w:tcPr>
                <w:p>
                  <w:pPr>
                    <w:adjustRightInd w:val="0"/>
                    <w:snapToGrid w:val="0"/>
                    <w:jc w:val="center"/>
                    <w:rPr>
                      <w:color w:val="000000" w:themeColor="text1"/>
                      <w:sz w:val="18"/>
                      <w:szCs w:val="18"/>
                    </w:rPr>
                  </w:pPr>
                  <w:r>
                    <w:rPr>
                      <w:color w:val="000000" w:themeColor="text1"/>
                      <w:sz w:val="18"/>
                      <w:szCs w:val="18"/>
                    </w:rPr>
                    <w:t>2</w:t>
                  </w:r>
                </w:p>
              </w:tc>
              <w:tc>
                <w:tcPr>
                  <w:tcW w:w="709" w:type="dxa"/>
                  <w:vAlign w:val="center"/>
                </w:tcPr>
                <w:p>
                  <w:pPr>
                    <w:adjustRightInd w:val="0"/>
                    <w:snapToGrid w:val="0"/>
                    <w:jc w:val="center"/>
                    <w:rPr>
                      <w:color w:val="000000" w:themeColor="text1"/>
                      <w:sz w:val="18"/>
                      <w:szCs w:val="18"/>
                    </w:rPr>
                  </w:pPr>
                  <w:r>
                    <w:rPr>
                      <w:color w:val="000000" w:themeColor="text1"/>
                      <w:sz w:val="18"/>
                      <w:szCs w:val="18"/>
                    </w:rPr>
                    <w:t>1-2</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必</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修</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环</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节</w:t>
                  </w:r>
                </w:p>
              </w:tc>
              <w:tc>
                <w:tcPr>
                  <w:tcW w:w="720" w:type="dxa"/>
                  <w:vAlign w:val="center"/>
                </w:tcPr>
                <w:p>
                  <w:pPr>
                    <w:adjustRightInd w:val="0"/>
                    <w:snapToGrid w:val="0"/>
                    <w:jc w:val="center"/>
                    <w:rPr>
                      <w:color w:val="000000" w:themeColor="text1"/>
                      <w:sz w:val="15"/>
                      <w:szCs w:val="15"/>
                    </w:rPr>
                  </w:pPr>
                  <w:r>
                    <w:rPr>
                      <w:rFonts w:hint="eastAsia"/>
                      <w:color w:val="000000" w:themeColor="text1"/>
                      <w:sz w:val="15"/>
                      <w:szCs w:val="15"/>
                    </w:rPr>
                    <w:t>1504531001</w:t>
                  </w:r>
                </w:p>
              </w:tc>
              <w:tc>
                <w:tcPr>
                  <w:tcW w:w="3048" w:type="dxa"/>
                  <w:gridSpan w:val="2"/>
                  <w:vAlign w:val="center"/>
                </w:tcPr>
                <w:p>
                  <w:pPr>
                    <w:pStyle w:val="10"/>
                    <w:adjustRightInd w:val="0"/>
                    <w:snapToGrid w:val="0"/>
                    <w:ind w:firstLine="0" w:firstLineChars="0"/>
                    <w:rPr>
                      <w:color w:val="000000" w:themeColor="text1"/>
                      <w:sz w:val="18"/>
                      <w:szCs w:val="18"/>
                    </w:rPr>
                  </w:pPr>
                  <w:r>
                    <w:rPr>
                      <w:rFonts w:hint="eastAsia"/>
                      <w:color w:val="000000" w:themeColor="text1"/>
                      <w:sz w:val="18"/>
                      <w:szCs w:val="18"/>
                    </w:rPr>
                    <w:t>文献选读与开题报告</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1次</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w:t>
                  </w:r>
                </w:p>
              </w:tc>
              <w:tc>
                <w:tcPr>
                  <w:tcW w:w="851" w:type="dxa"/>
                  <w:vAlign w:val="center"/>
                </w:tcPr>
                <w:p>
                  <w:pPr>
                    <w:pStyle w:val="10"/>
                    <w:adjustRightInd w:val="0"/>
                    <w:snapToGrid w:val="0"/>
                    <w:ind w:firstLine="0" w:firstLineChars="0"/>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必</w:t>
                  </w:r>
                </w:p>
                <w:p>
                  <w:pPr>
                    <w:adjustRightInd w:val="0"/>
                    <w:snapToGrid w:val="0"/>
                    <w:jc w:val="center"/>
                    <w:rPr>
                      <w:rFonts w:ascii="宋体" w:hAnsi="宋体"/>
                      <w:color w:val="000000" w:themeColor="text1"/>
                      <w:sz w:val="18"/>
                      <w:szCs w:val="18"/>
                    </w:rPr>
                  </w:pPr>
                  <w:r>
                    <w:rPr>
                      <w:rFonts w:hint="eastAsia" w:ascii="宋体" w:hAnsi="宋体"/>
                      <w:color w:val="000000" w:themeColor="text1"/>
                      <w:sz w:val="18"/>
                      <w:szCs w:val="18"/>
                    </w:rPr>
                    <w:t>修</w:t>
                  </w:r>
                </w:p>
                <w:p>
                  <w:pPr>
                    <w:adjustRightInd w:val="0"/>
                    <w:snapToGrid w:val="0"/>
                    <w:jc w:val="center"/>
                    <w:rPr>
                      <w:rFonts w:ascii="宋体"/>
                      <w:color w:val="000000" w:themeColor="text1"/>
                      <w:sz w:val="18"/>
                      <w:szCs w:val="18"/>
                    </w:rPr>
                  </w:pPr>
                  <w:r>
                    <w:rPr>
                      <w:color w:val="000000" w:themeColor="text1"/>
                      <w:sz w:val="18"/>
                      <w:szCs w:val="18"/>
                    </w:rPr>
                    <w:t>8</w:t>
                  </w:r>
                  <w:r>
                    <w:rPr>
                      <w:rFonts w:hint="eastAsia" w:ascii="宋体" w:hAns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735" w:type="dxa"/>
                  <w:gridSpan w:val="2"/>
                  <w:vMerge w:val="continue"/>
                  <w:vAlign w:val="center"/>
                </w:tcPr>
                <w:p>
                  <w:pPr>
                    <w:adjustRightInd w:val="0"/>
                    <w:snapToGrid w:val="0"/>
                    <w:jc w:val="center"/>
                    <w:rPr>
                      <w:rFonts w:ascii="宋体"/>
                      <w:color w:val="000000" w:themeColor="text1"/>
                      <w:szCs w:val="21"/>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1504531002</w:t>
                  </w:r>
                </w:p>
              </w:tc>
              <w:tc>
                <w:tcPr>
                  <w:tcW w:w="3048" w:type="dxa"/>
                  <w:gridSpan w:val="2"/>
                  <w:vAlign w:val="center"/>
                </w:tcPr>
                <w:p>
                  <w:pPr>
                    <w:adjustRightInd w:val="0"/>
                    <w:snapToGrid w:val="0"/>
                    <w:rPr>
                      <w:rFonts w:ascii="宋体"/>
                      <w:color w:val="000000" w:themeColor="text1"/>
                      <w:sz w:val="18"/>
                      <w:szCs w:val="18"/>
                    </w:rPr>
                  </w:pPr>
                  <w:r>
                    <w:rPr>
                      <w:rFonts w:hint="eastAsia" w:ascii="宋体" w:hAnsi="宋体" w:cs="Arial"/>
                      <w:color w:val="000000" w:themeColor="text1"/>
                      <w:sz w:val="18"/>
                      <w:szCs w:val="18"/>
                    </w:rPr>
                    <w:t>学术专题</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10次</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1-4</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jc w:val="center"/>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trPr>
              <w:tc>
                <w:tcPr>
                  <w:tcW w:w="735" w:type="dxa"/>
                  <w:gridSpan w:val="2"/>
                  <w:vMerge w:val="continue"/>
                  <w:vAlign w:val="center"/>
                </w:tcPr>
                <w:p>
                  <w:pPr>
                    <w:adjustRightInd w:val="0"/>
                    <w:snapToGrid w:val="0"/>
                    <w:rPr>
                      <w:rFonts w:ascii="宋体"/>
                      <w:color w:val="000000" w:themeColor="text1"/>
                      <w:szCs w:val="21"/>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1504536003</w:t>
                  </w:r>
                </w:p>
              </w:tc>
              <w:tc>
                <w:tcPr>
                  <w:tcW w:w="3048" w:type="dxa"/>
                  <w:gridSpan w:val="2"/>
                  <w:vAlign w:val="center"/>
                </w:tcPr>
                <w:p>
                  <w:pPr>
                    <w:adjustRightInd w:val="0"/>
                    <w:snapToGrid w:val="0"/>
                    <w:rPr>
                      <w:rFonts w:ascii="宋体"/>
                      <w:color w:val="000000" w:themeColor="text1"/>
                      <w:sz w:val="18"/>
                      <w:szCs w:val="18"/>
                    </w:rPr>
                  </w:pPr>
                  <w:r>
                    <w:rPr>
                      <w:rFonts w:ascii="宋体" w:hAnsi="宋体" w:cs="宋体"/>
                      <w:color w:val="000000" w:themeColor="text1"/>
                      <w:kern w:val="0"/>
                      <w:sz w:val="18"/>
                      <w:szCs w:val="18"/>
                    </w:rPr>
                    <w:t>教学</w:t>
                  </w:r>
                  <w:r>
                    <w:rPr>
                      <w:rFonts w:hint="eastAsia" w:ascii="宋体" w:hAnsi="宋体" w:cs="宋体"/>
                      <w:color w:val="000000" w:themeColor="text1"/>
                      <w:kern w:val="0"/>
                      <w:sz w:val="18"/>
                      <w:szCs w:val="18"/>
                    </w:rPr>
                    <w:t>实习</w:t>
                  </w:r>
                </w:p>
              </w:tc>
              <w:tc>
                <w:tcPr>
                  <w:tcW w:w="708" w:type="dxa"/>
                  <w:vAlign w:val="center"/>
                </w:tcPr>
                <w:p>
                  <w:pPr>
                    <w:pStyle w:val="10"/>
                    <w:adjustRightInd w:val="0"/>
                    <w:snapToGrid w:val="0"/>
                    <w:ind w:firstLine="0" w:firstLineChars="0"/>
                    <w:jc w:val="center"/>
                    <w:rPr>
                      <w:rFonts w:ascii="宋体" w:hAnsi="宋体"/>
                      <w:color w:val="000000" w:themeColor="text1"/>
                      <w:sz w:val="18"/>
                      <w:szCs w:val="18"/>
                    </w:rPr>
                  </w:pPr>
                  <w:r>
                    <w:rPr>
                      <w:rFonts w:ascii="宋体" w:hAnsi="宋体"/>
                      <w:color w:val="000000" w:themeColor="text1"/>
                      <w:sz w:val="18"/>
                      <w:szCs w:val="18"/>
                    </w:rPr>
                    <w:t>不少于半年</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6</w:t>
                  </w:r>
                </w:p>
              </w:tc>
              <w:tc>
                <w:tcPr>
                  <w:tcW w:w="709" w:type="dxa"/>
                  <w:vAlign w:val="center"/>
                </w:tcPr>
                <w:p>
                  <w:pPr>
                    <w:jc w:val="center"/>
                    <w:rPr>
                      <w:color w:val="000000" w:themeColor="text1"/>
                      <w:sz w:val="18"/>
                      <w:szCs w:val="18"/>
                    </w:rPr>
                  </w:pPr>
                  <w:r>
                    <w:rPr>
                      <w:color w:val="000000" w:themeColor="text1"/>
                      <w:sz w:val="18"/>
                      <w:szCs w:val="18"/>
                    </w:rPr>
                    <w:t>3-4</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Cs w:val="21"/>
                    </w:rPr>
                  </w:pPr>
                </w:p>
              </w:tc>
            </w:tr>
          </w:tbl>
          <w:p>
            <w:pPr>
              <w:rPr>
                <w:rFonts w:ascii="楷体_GB2312" w:eastAsia="楷体_GB2312"/>
                <w:color w:val="000000" w:themeColor="text1"/>
                <w:sz w:val="18"/>
                <w:szCs w:val="18"/>
              </w:rPr>
            </w:pPr>
          </w:p>
          <w:p>
            <w:pPr>
              <w:ind w:firstLine="540" w:firstLineChars="300"/>
              <w:rPr>
                <w:color w:val="000000" w:themeColor="text1"/>
              </w:rPr>
            </w:pPr>
            <w:r>
              <w:rPr>
                <w:rFonts w:hint="eastAsia" w:ascii="楷体_GB2312" w:eastAsia="楷体_GB2312"/>
                <w:color w:val="000000" w:themeColor="text1"/>
                <w:sz w:val="18"/>
                <w:szCs w:val="18"/>
              </w:rPr>
              <w:t>注：硕士研究生思想政治理论课程设置按照中宣部、教育部有关文件执行，其中《</w:t>
            </w:r>
            <w:r>
              <w:rPr>
                <w:rFonts w:hint="eastAsia" w:ascii="楷体_GB2312" w:hAnsi="宋体" w:eastAsia="楷体_GB2312"/>
                <w:color w:val="000000" w:themeColor="text1"/>
                <w:sz w:val="18"/>
                <w:szCs w:val="18"/>
              </w:rPr>
              <w:t>中国特色社会主义理论与实践研究》为</w:t>
            </w:r>
            <w:r>
              <w:rPr>
                <w:rFonts w:ascii="楷体_GB2312" w:hAnsi="宋体" w:eastAsia="楷体_GB2312"/>
                <w:color w:val="000000" w:themeColor="text1"/>
                <w:sz w:val="18"/>
                <w:szCs w:val="18"/>
              </w:rPr>
              <w:t>36</w:t>
            </w:r>
            <w:r>
              <w:rPr>
                <w:rFonts w:hint="eastAsia" w:ascii="楷体_GB2312" w:hAnsi="宋体" w:eastAsia="楷体_GB2312"/>
                <w:color w:val="000000" w:themeColor="text1"/>
                <w:sz w:val="18"/>
                <w:szCs w:val="18"/>
              </w:rPr>
              <w:t>学时，其中</w:t>
            </w:r>
            <w:r>
              <w:rPr>
                <w:rFonts w:hint="eastAsia" w:ascii="楷体_GB2312" w:eastAsia="楷体_GB2312"/>
                <w:color w:val="000000" w:themeColor="text1"/>
                <w:sz w:val="18"/>
                <w:szCs w:val="18"/>
              </w:rPr>
              <w:t>课内学时为</w:t>
            </w:r>
            <w:r>
              <w:rPr>
                <w:rFonts w:ascii="楷体_GB2312" w:eastAsia="楷体_GB2312"/>
                <w:color w:val="000000" w:themeColor="text1"/>
                <w:sz w:val="18"/>
                <w:szCs w:val="18"/>
              </w:rPr>
              <w:t>32</w:t>
            </w:r>
            <w:r>
              <w:rPr>
                <w:rFonts w:hint="eastAsia" w:ascii="楷体_GB2312" w:eastAsia="楷体_GB2312"/>
                <w:color w:val="000000" w:themeColor="text1"/>
                <w:sz w:val="18"/>
                <w:szCs w:val="18"/>
              </w:rPr>
              <w:t>学时、课外学时</w:t>
            </w:r>
            <w:r>
              <w:rPr>
                <w:rFonts w:ascii="楷体_GB2312" w:eastAsia="楷体_GB2312"/>
                <w:color w:val="000000" w:themeColor="text1"/>
                <w:sz w:val="18"/>
                <w:szCs w:val="18"/>
              </w:rPr>
              <w:t>4</w:t>
            </w:r>
            <w:r>
              <w:rPr>
                <w:rFonts w:hint="eastAsia" w:ascii="楷体_GB2312" w:eastAsia="楷体_GB2312"/>
                <w:color w:val="000000" w:themeColor="text1"/>
                <w:sz w:val="18"/>
                <w:szCs w:val="18"/>
              </w:rPr>
              <w:t>学时</w:t>
            </w:r>
            <w:r>
              <w:rPr>
                <w:rFonts w:hint="eastAsia" w:ascii="楷体_GB2312" w:hAnsi="宋体" w:eastAsia="楷体_GB2312"/>
                <w:color w:val="000000" w:themeColor="text1"/>
                <w:sz w:val="18"/>
                <w:szCs w:val="18"/>
              </w:rPr>
              <w:t>；《自然辩证法概论》、《</w:t>
            </w:r>
            <w:r>
              <w:rPr>
                <w:rFonts w:hint="eastAsia" w:ascii="楷体_GB2312" w:eastAsia="楷体_GB2312"/>
                <w:color w:val="000000" w:themeColor="text1"/>
                <w:sz w:val="18"/>
                <w:szCs w:val="18"/>
              </w:rPr>
              <w:t>马克思主义与社会科</w:t>
            </w:r>
            <w:r>
              <w:rPr>
                <w:rFonts w:hint="eastAsia" w:ascii="楷体_GB2312" w:hAnsi="宋体" w:eastAsia="楷体_GB2312"/>
                <w:color w:val="000000" w:themeColor="text1"/>
                <w:sz w:val="18"/>
                <w:szCs w:val="18"/>
              </w:rPr>
              <w:t>学方法论》为</w:t>
            </w:r>
            <w:r>
              <w:rPr>
                <w:rFonts w:ascii="楷体_GB2312" w:hAnsi="宋体" w:eastAsia="楷体_GB2312"/>
                <w:color w:val="000000" w:themeColor="text1"/>
                <w:sz w:val="18"/>
                <w:szCs w:val="18"/>
              </w:rPr>
              <w:t>18</w:t>
            </w:r>
            <w:r>
              <w:rPr>
                <w:rFonts w:hint="eastAsia" w:ascii="楷体_GB2312" w:hAnsi="宋体" w:eastAsia="楷体_GB2312"/>
                <w:color w:val="000000" w:themeColor="text1"/>
                <w:sz w:val="18"/>
                <w:szCs w:val="18"/>
              </w:rPr>
              <w:t>学时，其中课内学时</w:t>
            </w:r>
            <w:r>
              <w:rPr>
                <w:rFonts w:ascii="楷体_GB2312" w:hAnsi="宋体" w:eastAsia="楷体_GB2312"/>
                <w:color w:val="000000" w:themeColor="text1"/>
                <w:sz w:val="18"/>
                <w:szCs w:val="18"/>
              </w:rPr>
              <w:t>16</w:t>
            </w:r>
            <w:r>
              <w:rPr>
                <w:rFonts w:hint="eastAsia" w:ascii="楷体_GB2312" w:hAnsi="宋体" w:eastAsia="楷体_GB2312"/>
                <w:color w:val="000000" w:themeColor="text1"/>
                <w:sz w:val="18"/>
                <w:szCs w:val="18"/>
              </w:rPr>
              <w:t>学时、课外学时</w:t>
            </w:r>
            <w:r>
              <w:rPr>
                <w:rFonts w:ascii="楷体_GB2312" w:hAnsi="宋体" w:eastAsia="楷体_GB2312"/>
                <w:color w:val="000000" w:themeColor="text1"/>
                <w:sz w:val="18"/>
                <w:szCs w:val="18"/>
              </w:rPr>
              <w:t>2</w:t>
            </w:r>
            <w:r>
              <w:rPr>
                <w:rFonts w:hint="eastAsia" w:ascii="楷体_GB2312" w:hAnsi="宋体" w:eastAsia="楷体_GB2312"/>
                <w:color w:val="000000" w:themeColor="text1"/>
                <w:sz w:val="18"/>
                <w:szCs w:val="18"/>
              </w:rPr>
              <w:t>学时。</w:t>
            </w:r>
          </w:p>
          <w:p>
            <w:pPr>
              <w:pStyle w:val="59"/>
              <w:rPr>
                <w:color w:val="000000" w:themeColor="text1"/>
              </w:rPr>
            </w:pPr>
          </w:p>
          <w:p>
            <w:pPr>
              <w:pStyle w:val="59"/>
              <w:rPr>
                <w:color w:val="000000" w:themeColor="text1"/>
              </w:rPr>
            </w:pPr>
          </w:p>
          <w:p>
            <w:pPr>
              <w:pStyle w:val="59"/>
              <w:rPr>
                <w:color w:val="000000" w:themeColor="text1"/>
              </w:rPr>
            </w:pPr>
            <w:r>
              <w:rPr>
                <w:rFonts w:hint="eastAsia"/>
                <w:color w:val="000000" w:themeColor="text1"/>
              </w:rPr>
              <w:t>全中文授课外国来华留学硕士研究生</w:t>
            </w:r>
          </w:p>
          <w:p>
            <w:pPr>
              <w:pStyle w:val="59"/>
              <w:rPr>
                <w:color w:val="000000" w:themeColor="text1"/>
              </w:rPr>
            </w:pPr>
            <w:r>
              <w:rPr>
                <w:rFonts w:hint="eastAsia"/>
                <w:color w:val="000000" w:themeColor="text1"/>
              </w:rPr>
              <w:t xml:space="preserve">汉语国际教育硕士专业学位研究生培养方案 </w:t>
            </w:r>
          </w:p>
          <w:p>
            <w:pPr>
              <w:adjustRightInd w:val="0"/>
              <w:snapToGrid w:val="0"/>
              <w:spacing w:line="360" w:lineRule="auto"/>
              <w:jc w:val="center"/>
              <w:rPr>
                <w:rFonts w:ascii="Times New Roman" w:hAnsi="Times New Roman" w:eastAsia="黑体"/>
                <w:b/>
                <w:color w:val="000000" w:themeColor="text1"/>
                <w:sz w:val="24"/>
                <w:szCs w:val="24"/>
              </w:rPr>
            </w:pPr>
            <w:r>
              <w:rPr>
                <w:rFonts w:ascii="Times New Roman" w:hAnsi="Times New Roman" w:eastAsia="黑体"/>
                <w:b/>
                <w:color w:val="000000" w:themeColor="text1"/>
                <w:sz w:val="24"/>
                <w:szCs w:val="24"/>
              </w:rPr>
              <w:t>Postgraduate Program in</w:t>
            </w:r>
          </w:p>
          <w:p>
            <w:pPr>
              <w:adjustRightInd w:val="0"/>
              <w:snapToGrid w:val="0"/>
              <w:spacing w:line="360" w:lineRule="auto"/>
              <w:jc w:val="center"/>
              <w:rPr>
                <w:rFonts w:ascii="Times New Roman" w:hAnsi="Times New Roman" w:eastAsia="黑体"/>
                <w:b/>
                <w:color w:val="000000" w:themeColor="text1"/>
                <w:sz w:val="24"/>
                <w:szCs w:val="24"/>
              </w:rPr>
            </w:pPr>
            <w:r>
              <w:rPr>
                <w:rFonts w:ascii="Times New Roman" w:hAnsi="Times New Roman" w:eastAsia="黑体"/>
                <w:b/>
                <w:color w:val="000000" w:themeColor="text1"/>
                <w:sz w:val="24"/>
                <w:szCs w:val="24"/>
              </w:rPr>
              <w:t xml:space="preserve">      Master of Teaching Chinese to Speakers of Other Languages</w:t>
            </w:r>
            <w:r>
              <w:rPr>
                <w:rFonts w:hint="eastAsia" w:ascii="Times New Roman" w:hAnsi="Times New Roman" w:eastAsia="黑体"/>
                <w:b/>
                <w:color w:val="000000" w:themeColor="text1"/>
                <w:sz w:val="24"/>
                <w:szCs w:val="24"/>
              </w:rPr>
              <w:t xml:space="preserve"> </w:t>
            </w:r>
            <w:r>
              <w:rPr>
                <w:rFonts w:ascii="Times New Roman" w:hAnsi="Times New Roman" w:eastAsia="黑体"/>
                <w:b/>
                <w:color w:val="000000" w:themeColor="text1"/>
                <w:sz w:val="24"/>
                <w:szCs w:val="24"/>
              </w:rPr>
              <w:t>(MTCS</w:t>
            </w:r>
            <w:r>
              <w:rPr>
                <w:rFonts w:hint="eastAsia" w:ascii="Times New Roman" w:hAnsi="Times New Roman" w:eastAsia="黑体"/>
                <w:b/>
                <w:color w:val="000000" w:themeColor="text1"/>
                <w:sz w:val="24"/>
                <w:szCs w:val="24"/>
              </w:rPr>
              <w:t>O</w:t>
            </w:r>
            <w:r>
              <w:rPr>
                <w:rFonts w:ascii="Times New Roman" w:hAnsi="Times New Roman" w:eastAsia="黑体"/>
                <w:b/>
                <w:color w:val="000000" w:themeColor="text1"/>
                <w:sz w:val="24"/>
                <w:szCs w:val="24"/>
              </w:rPr>
              <w:t>L)</w:t>
            </w:r>
          </w:p>
          <w:p>
            <w:pPr>
              <w:pStyle w:val="54"/>
              <w:rPr>
                <w:color w:val="000000" w:themeColor="text1"/>
              </w:rPr>
            </w:pPr>
            <w:r>
              <w:rPr>
                <w:rFonts w:hint="eastAsia"/>
                <w:color w:val="000000" w:themeColor="text1"/>
              </w:rPr>
              <w:t>（适用于来华留学生）</w:t>
            </w:r>
          </w:p>
          <w:p>
            <w:pPr>
              <w:pStyle w:val="54"/>
              <w:rPr>
                <w:rFonts w:ascii="Times New Roman" w:hAnsi="Times New Roman"/>
                <w:b/>
                <w:bCs/>
                <w:color w:val="000000" w:themeColor="text1"/>
                <w:spacing w:val="80"/>
                <w:sz w:val="24"/>
                <w:szCs w:val="24"/>
              </w:rPr>
            </w:pPr>
          </w:p>
          <w:p>
            <w:pPr>
              <w:spacing w:line="360" w:lineRule="auto"/>
              <w:rPr>
                <w:rFonts w:ascii="Times New Roman" w:hAnsi="Times New Roman"/>
                <w:b/>
                <w:bCs/>
                <w:color w:val="000000" w:themeColor="text1"/>
                <w:spacing w:val="80"/>
                <w:sz w:val="24"/>
                <w:szCs w:val="24"/>
              </w:rPr>
            </w:pPr>
            <w:r>
              <w:rPr>
                <w:rFonts w:ascii="Times New Roman" w:hAnsi="Times New Roman"/>
                <w:b/>
                <w:bCs/>
                <w:color w:val="000000" w:themeColor="text1"/>
                <w:sz w:val="24"/>
                <w:szCs w:val="24"/>
              </w:rPr>
              <w:t>一、培养目标</w:t>
            </w:r>
            <w:r>
              <w:rPr>
                <w:rFonts w:hint="eastAsia" w:ascii="Times New Roman" w:hAnsi="Times New Roman"/>
                <w:b/>
                <w:color w:val="000000" w:themeColor="text1"/>
                <w:sz w:val="24"/>
                <w:szCs w:val="24"/>
              </w:rPr>
              <w:t xml:space="preserve"> </w:t>
            </w:r>
            <w:r>
              <w:rPr>
                <w:rFonts w:ascii="Times New Roman" w:hAnsi="Times New Roman"/>
                <w:b/>
                <w:color w:val="000000" w:themeColor="text1"/>
                <w:sz w:val="24"/>
                <w:szCs w:val="24"/>
              </w:rPr>
              <w:t>Training Objectives</w:t>
            </w:r>
            <w:r>
              <w:rPr>
                <w:rFonts w:hint="eastAsia" w:ascii="Times New Roman" w:hAnsi="Times New Roman"/>
                <w:b/>
                <w:color w:val="000000" w:themeColor="text1"/>
                <w:sz w:val="24"/>
                <w:szCs w:val="24"/>
              </w:rPr>
              <w:t xml:space="preserve"> </w:t>
            </w:r>
          </w:p>
          <w:p>
            <w:pPr>
              <w:pStyle w:val="56"/>
              <w:spacing w:before="120"/>
              <w:ind w:firstLine="480"/>
              <w:rPr>
                <w:color w:val="000000" w:themeColor="text1"/>
                <w:sz w:val="24"/>
                <w:szCs w:val="24"/>
              </w:rPr>
            </w:pPr>
            <w:r>
              <w:rPr>
                <w:color w:val="000000" w:themeColor="text1"/>
                <w:sz w:val="24"/>
                <w:szCs w:val="24"/>
              </w:rPr>
              <w:t>培养了解中国，理解中华文化，具有较熟练的中国语言文化教学技能和跨文化交际能力，胜任汉语教学任务的具备良好职业道德的专门人才。</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 xml:space="preserve">This program is oriented to cultivate professionals with strong work ethics and good understanding of China and Chinese culture, proficient in teaching skills and techniques in Chinese language and culture, good at intercultural communication, and thus qualified for Chinese teaching.   </w:t>
            </w:r>
            <w:r>
              <w:rPr>
                <w:rFonts w:ascii="Times New Roman" w:hAnsi="Times New Roman"/>
                <w:color w:val="000000" w:themeColor="text1"/>
                <w:sz w:val="24"/>
                <w:szCs w:val="24"/>
              </w:rPr>
              <w:t xml:space="preserve">  </w:t>
            </w:r>
          </w:p>
          <w:p>
            <w:pPr>
              <w:spacing w:line="360" w:lineRule="auto"/>
              <w:rPr>
                <w:rFonts w:ascii="Times New Roman" w:hAnsi="Times New Roman"/>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二、研究方向</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Research Orientation</w:t>
            </w:r>
            <w:r>
              <w:rPr>
                <w:rFonts w:hint="eastAsia" w:ascii="Times New Roman" w:hAnsi="Times New Roman"/>
                <w:b/>
                <w:bCs/>
                <w:color w:val="000000" w:themeColor="text1"/>
                <w:sz w:val="24"/>
                <w:szCs w:val="24"/>
              </w:rPr>
              <w:t xml:space="preserve"> </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汉语国际教育</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Teaching Chinese to Speakers of Other Languages</w:t>
            </w:r>
          </w:p>
          <w:p>
            <w:pPr>
              <w:spacing w:line="360" w:lineRule="auto"/>
              <w:ind w:firstLine="480" w:firstLineChars="200"/>
              <w:rPr>
                <w:rFonts w:ascii="Times New Roman" w:hAnsi="Times New Roman"/>
                <w:color w:val="000000" w:themeColor="text1"/>
                <w:kern w:val="0"/>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三、学习方式</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Study Mode</w:t>
            </w:r>
            <w:r>
              <w:rPr>
                <w:rFonts w:hint="eastAsia" w:ascii="Times New Roman" w:hAnsi="Times New Roman"/>
                <w:b/>
                <w:bCs/>
                <w:color w:val="000000" w:themeColor="text1"/>
                <w:sz w:val="24"/>
                <w:szCs w:val="24"/>
              </w:rPr>
              <w:t xml:space="preserve"> </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第一</w:t>
            </w:r>
            <w:r>
              <w:rPr>
                <w:rFonts w:hint="eastAsia" w:ascii="Times New Roman" w:hAnsi="Times New Roman"/>
                <w:color w:val="000000" w:themeColor="text1"/>
                <w:kern w:val="0"/>
                <w:sz w:val="24"/>
                <w:szCs w:val="24"/>
              </w:rPr>
              <w:t>学</w:t>
            </w:r>
            <w:r>
              <w:rPr>
                <w:rFonts w:ascii="Times New Roman" w:hAnsi="Times New Roman"/>
                <w:color w:val="000000" w:themeColor="text1"/>
                <w:kern w:val="0"/>
                <w:sz w:val="24"/>
                <w:szCs w:val="24"/>
              </w:rPr>
              <w:t>年实行高密度的教学计划，学完主要学位课程；第三学期回生源国实习；第四学期开始在导师指导下撰写毕业论文。</w:t>
            </w:r>
          </w:p>
          <w:p>
            <w:pPr>
              <w:spacing w:line="360" w:lineRule="auto"/>
              <w:ind w:firstLine="480" w:firstLineChars="200"/>
              <w:rPr>
                <w:rFonts w:ascii="Times New Roman" w:hAnsi="Times New Roman"/>
                <w:color w:val="000000" w:themeColor="text1"/>
                <w:kern w:val="0"/>
                <w:szCs w:val="21"/>
              </w:rPr>
            </w:pPr>
            <w:r>
              <w:rPr>
                <w:rFonts w:ascii="Times New Roman" w:hAnsi="Times New Roman"/>
                <w:color w:val="000000" w:themeColor="text1"/>
                <w:kern w:val="0"/>
                <w:sz w:val="24"/>
                <w:szCs w:val="24"/>
              </w:rPr>
              <w:t xml:space="preserve">The first year study focuses on the completion of intensive core courses, the third semester study is carried out in students’ home country in the form of internship, and the fourth semester study centers on graduation thesis under the guidance of supervisors. </w:t>
            </w:r>
            <w:r>
              <w:rPr>
                <w:rFonts w:hint="eastAsia" w:ascii="Times New Roman" w:hAnsi="Times New Roman"/>
                <w:color w:val="000000" w:themeColor="text1"/>
                <w:kern w:val="0"/>
                <w:szCs w:val="21"/>
              </w:rPr>
              <w:t xml:space="preserve"> </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四、学习年限和学位 Length of Schooling and Degrees</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全中文授课的汉语国际教育外国来华留学硕士专业学位研究生的基本学制为2.5年</w:t>
            </w:r>
            <w:r>
              <w:rPr>
                <w:rFonts w:hint="eastAsia"/>
                <w:color w:val="000000" w:themeColor="text1"/>
                <w:kern w:val="0"/>
                <w:sz w:val="24"/>
                <w:szCs w:val="24"/>
              </w:rPr>
              <w:t>，其中课程学习1～1.5年，实习、学位论文撰写和答辩1～1.5年</w:t>
            </w:r>
            <w:r>
              <w:rPr>
                <w:rFonts w:ascii="Times New Roman" w:hAnsi="Times New Roman"/>
                <w:color w:val="000000" w:themeColor="text1"/>
                <w:sz w:val="24"/>
                <w:szCs w:val="24"/>
              </w:rPr>
              <w:t>。因特殊原因未能在基本学制年限内完成学习、研究任务或论文答辩的，可由本人提前三个月提出申请，指导教师签署意见，经学院同意并报研究生处审核，可延长学习年限。修业年限不得超过5年。</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学位授予：汉语国际教育硕士。</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This is a Master of Teaching Chinese to Speakers of Other Languages. The length of schooling is 2.5 years in which 1</w:t>
            </w:r>
            <w:r>
              <w:rPr>
                <w:rFonts w:ascii="Times New Roman"/>
                <w:color w:val="000000" w:themeColor="text1"/>
                <w:kern w:val="0"/>
                <w:sz w:val="24"/>
                <w:szCs w:val="24"/>
              </w:rPr>
              <w:t>～</w:t>
            </w:r>
            <w:r>
              <w:rPr>
                <w:rFonts w:ascii="Times New Roman" w:hAnsi="Times New Roman"/>
                <w:color w:val="000000" w:themeColor="text1"/>
                <w:kern w:val="0"/>
                <w:sz w:val="24"/>
                <w:szCs w:val="24"/>
              </w:rPr>
              <w:t>1.5 year for course study and 1</w:t>
            </w:r>
            <w:r>
              <w:rPr>
                <w:rFonts w:ascii="Times New Roman"/>
                <w:color w:val="000000" w:themeColor="text1"/>
                <w:kern w:val="0"/>
                <w:sz w:val="24"/>
                <w:szCs w:val="24"/>
              </w:rPr>
              <w:t>～</w:t>
            </w:r>
            <w:r>
              <w:rPr>
                <w:rFonts w:ascii="Times New Roman" w:hAnsi="Times New Roman"/>
                <w:color w:val="000000" w:themeColor="text1"/>
                <w:kern w:val="0"/>
                <w:sz w:val="24"/>
                <w:szCs w:val="24"/>
              </w:rPr>
              <w:t xml:space="preserve">1.5 years for dissertation research and practice. The students who are </w:t>
            </w:r>
            <w:r>
              <w:rPr>
                <w:rFonts w:ascii="Times New Roman" w:hAnsi="Times New Roman"/>
                <w:color w:val="000000" w:themeColor="text1"/>
                <w:kern w:val="0"/>
                <w:sz w:val="24"/>
                <w:szCs w:val="24"/>
                <w:highlight w:val="white"/>
              </w:rPr>
              <w:t>unable to complete stud</w:t>
            </w:r>
            <w:r>
              <w:rPr>
                <w:rFonts w:ascii="Times New Roman" w:hAnsi="Times New Roman"/>
                <w:color w:val="000000" w:themeColor="text1"/>
                <w:kern w:val="0"/>
                <w:sz w:val="24"/>
                <w:szCs w:val="24"/>
              </w:rPr>
              <w:t>ies, research task or thesis defense within schooling years because of special reasons can apply for an extension. But the students should submit such application to relevant department 3 months in advance before graduation to get the permit. The students have a maximum of 5 years to finish the Master Degree.</w:t>
            </w:r>
          </w:p>
          <w:p>
            <w:pPr>
              <w:spacing w:line="360" w:lineRule="auto"/>
              <w:rPr>
                <w:rFonts w:ascii="Times New Roman" w:hAnsi="Times New Roman"/>
                <w:color w:val="000000" w:themeColor="text1"/>
                <w:kern w:val="0"/>
                <w:sz w:val="24"/>
                <w:szCs w:val="24"/>
              </w:rPr>
            </w:pPr>
            <w:r>
              <w:rPr>
                <w:rFonts w:hint="eastAsia" w:ascii="Times New Roman" w:hAnsi="Times New Roman"/>
                <w:color w:val="000000" w:themeColor="text1"/>
                <w:kern w:val="0"/>
                <w:sz w:val="24"/>
                <w:szCs w:val="24"/>
              </w:rPr>
              <w:t xml:space="preserve">     </w:t>
            </w:r>
            <w:r>
              <w:rPr>
                <w:rFonts w:ascii="Times New Roman" w:hAnsi="Times New Roman"/>
                <w:color w:val="000000" w:themeColor="text1"/>
                <w:kern w:val="0"/>
                <w:sz w:val="24"/>
                <w:szCs w:val="24"/>
              </w:rPr>
              <w:t>Degree Conferred: Master of Teaching Chinese to Speakers of Other Languages</w:t>
            </w:r>
            <w:r>
              <w:rPr>
                <w:rFonts w:hint="eastAsia" w:ascii="Times New Roman" w:hAnsi="Times New Roman"/>
                <w:color w:val="000000" w:themeColor="text1"/>
                <w:kern w:val="0"/>
                <w:sz w:val="24"/>
                <w:szCs w:val="24"/>
              </w:rPr>
              <w:t>.</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五、课程设置及学分要求</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Curriculum and Requirements for </w:t>
            </w:r>
            <w:r>
              <w:rPr>
                <w:rFonts w:hint="eastAsia" w:ascii="Times New Roman" w:hAnsi="Times New Roman"/>
                <w:b/>
                <w:bCs/>
                <w:color w:val="000000" w:themeColor="text1"/>
                <w:sz w:val="24"/>
                <w:szCs w:val="24"/>
              </w:rPr>
              <w:t>C</w:t>
            </w:r>
            <w:r>
              <w:rPr>
                <w:rFonts w:ascii="Times New Roman" w:hAnsi="Times New Roman"/>
                <w:b/>
                <w:bCs/>
                <w:color w:val="000000" w:themeColor="text1"/>
                <w:sz w:val="24"/>
                <w:szCs w:val="24"/>
              </w:rPr>
              <w:t>redit</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（一）学分要求</w:t>
            </w:r>
            <w:r>
              <w:rPr>
                <w:rFonts w:hint="eastAsia" w:ascii="Times New Roman" w:hAnsi="Times New Roman"/>
                <w:color w:val="000000" w:themeColor="text1"/>
                <w:sz w:val="24"/>
                <w:szCs w:val="24"/>
              </w:rPr>
              <w:t xml:space="preserve"> </w:t>
            </w:r>
            <w:r>
              <w:rPr>
                <w:rFonts w:ascii="Times New Roman" w:hAnsi="Times New Roman"/>
                <w:color w:val="000000" w:themeColor="text1"/>
                <w:sz w:val="24"/>
                <w:szCs w:val="24"/>
              </w:rPr>
              <w:t xml:space="preserve">Requirements for </w:t>
            </w:r>
            <w:r>
              <w:rPr>
                <w:rFonts w:hint="eastAsia" w:ascii="Times New Roman" w:hAnsi="Times New Roman"/>
                <w:color w:val="000000" w:themeColor="text1"/>
                <w:sz w:val="24"/>
                <w:szCs w:val="24"/>
              </w:rPr>
              <w:t>C</w:t>
            </w:r>
            <w:r>
              <w:rPr>
                <w:rFonts w:ascii="Times New Roman" w:hAnsi="Times New Roman"/>
                <w:color w:val="000000" w:themeColor="text1"/>
                <w:sz w:val="24"/>
                <w:szCs w:val="24"/>
              </w:rPr>
              <w:t>redit</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累计修习总学分40学分。</w:t>
            </w:r>
          </w:p>
          <w:p>
            <w:pPr>
              <w:spacing w:line="360" w:lineRule="auto"/>
              <w:ind w:firstLine="480" w:firstLineChars="200"/>
              <w:rPr>
                <w:rFonts w:ascii="Times New Roman" w:hAnsi="Times New Roman"/>
                <w:color w:val="000000" w:themeColor="text1"/>
                <w:kern w:val="0"/>
                <w:sz w:val="24"/>
                <w:szCs w:val="24"/>
              </w:rPr>
            </w:pPr>
            <w:r>
              <w:rPr>
                <w:rFonts w:ascii="Times New Roman" w:hAnsi="Times New Roman"/>
                <w:color w:val="000000" w:themeColor="text1"/>
                <w:kern w:val="0"/>
                <w:sz w:val="24"/>
                <w:szCs w:val="24"/>
              </w:rPr>
              <w:t xml:space="preserve">The Minimum Graduation Credits: 40 Credits.  </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（二）课程设置</w:t>
            </w:r>
            <w:r>
              <w:rPr>
                <w:rFonts w:hint="eastAsia" w:ascii="Times New Roman" w:hAnsi="Times New Roman"/>
                <w:color w:val="000000" w:themeColor="text1"/>
                <w:sz w:val="24"/>
                <w:szCs w:val="24"/>
              </w:rPr>
              <w:t xml:space="preserve"> </w:t>
            </w:r>
            <w:r>
              <w:rPr>
                <w:rFonts w:ascii="Times New Roman" w:hAnsi="Times New Roman"/>
                <w:color w:val="000000" w:themeColor="text1"/>
                <w:sz w:val="24"/>
                <w:szCs w:val="24"/>
              </w:rPr>
              <w:t>Curriculum</w:t>
            </w:r>
          </w:p>
          <w:p>
            <w:pPr>
              <w:spacing w:line="360" w:lineRule="auto"/>
              <w:ind w:firstLine="480" w:firstLineChars="200"/>
              <w:rPr>
                <w:color w:val="000000" w:themeColor="text1"/>
                <w:sz w:val="24"/>
                <w:szCs w:val="24"/>
              </w:rPr>
            </w:pPr>
            <w:r>
              <w:rPr>
                <w:rFonts w:hint="eastAsia" w:ascii="Times New Roman" w:hAnsi="Times New Roman"/>
                <w:color w:val="000000" w:themeColor="text1"/>
                <w:sz w:val="24"/>
                <w:szCs w:val="24"/>
              </w:rPr>
              <w:t>具体课程设置附后 Attached is the detailed curriculum schedule.</w:t>
            </w:r>
          </w:p>
          <w:p>
            <w:pPr>
              <w:pStyle w:val="60"/>
              <w:spacing w:before="120"/>
              <w:rPr>
                <w:rFonts w:ascii="Times New Roman" w:hAnsi="Times New Roman" w:eastAsia="宋体"/>
                <w:color w:val="000000" w:themeColor="text1"/>
              </w:rPr>
            </w:pPr>
            <w:r>
              <w:rPr>
                <w:rFonts w:hint="eastAsia" w:ascii="Times New Roman" w:eastAsia="宋体"/>
                <w:color w:val="000000" w:themeColor="text1"/>
              </w:rPr>
              <w:t>六</w:t>
            </w:r>
            <w:r>
              <w:rPr>
                <w:rFonts w:ascii="Times New Roman" w:eastAsia="宋体"/>
                <w:color w:val="000000" w:themeColor="text1"/>
              </w:rPr>
              <w:t>、培养方式</w:t>
            </w:r>
            <w:r>
              <w:rPr>
                <w:rFonts w:hint="eastAsia" w:ascii="Times New Roman" w:hAnsi="Times New Roman"/>
                <w:b w:val="0"/>
                <w:bCs w:val="0"/>
                <w:color w:val="000000" w:themeColor="text1"/>
              </w:rPr>
              <w:t xml:space="preserve"> </w:t>
            </w:r>
            <w:r>
              <w:rPr>
                <w:rFonts w:ascii="Times New Roman" w:hAnsi="Times New Roman" w:eastAsia="宋体"/>
                <w:color w:val="000000" w:themeColor="text1"/>
              </w:rPr>
              <w:t>Training Mode</w:t>
            </w:r>
          </w:p>
          <w:p>
            <w:pPr>
              <w:pStyle w:val="61"/>
              <w:spacing w:before="120"/>
              <w:ind w:firstLine="480" w:firstLineChars="200"/>
              <w:rPr>
                <w:rFonts w:ascii="Times New Roman" w:hAnsi="Times New Roman"/>
                <w:color w:val="000000" w:themeColor="text1"/>
                <w:sz w:val="24"/>
              </w:rPr>
            </w:pPr>
            <w:r>
              <w:rPr>
                <w:rFonts w:ascii="Times New Roman"/>
                <w:color w:val="000000" w:themeColor="text1"/>
                <w:sz w:val="24"/>
              </w:rPr>
              <w:t>研究生的培养实行导师负责制和研究生指导小组集体指导相结合的原则。提倡建立研究生指导小组，旨在优化研究生的学术环境，博采众长，有利于培养研究生良好的协作精神。</w:t>
            </w:r>
          </w:p>
          <w:p>
            <w:pPr>
              <w:pStyle w:val="61"/>
              <w:spacing w:before="120"/>
              <w:ind w:firstLine="480" w:firstLineChars="200"/>
              <w:rPr>
                <w:rFonts w:ascii="Times New Roman" w:hAnsi="Times New Roman"/>
                <w:color w:val="000000" w:themeColor="text1"/>
                <w:sz w:val="24"/>
              </w:rPr>
            </w:pPr>
            <w:r>
              <w:rPr>
                <w:rFonts w:ascii="Times New Roman"/>
                <w:color w:val="000000" w:themeColor="text1"/>
                <w:sz w:val="24"/>
              </w:rPr>
              <w:t>研究生的课程教学要贯彻教学相长和因材施教的原则，可采用讲授、自学、课堂讨论、专题报告、写读书笔记等多种方式进行。提倡讲授与课堂讨论相结合的教学方式，充分发挥教师的作用和学生的主观能动性。既要使研究生认真学习基础理论和专门知识，又要使他们掌握科学研究的方法和技能。课程教学要注重实效，严格考核。</w:t>
            </w:r>
          </w:p>
          <w:p>
            <w:pPr>
              <w:pStyle w:val="10"/>
              <w:spacing w:line="360" w:lineRule="auto"/>
              <w:ind w:firstLine="480" w:firstLineChars="200"/>
              <w:rPr>
                <w:color w:val="000000" w:themeColor="text1"/>
                <w:szCs w:val="24"/>
              </w:rPr>
            </w:pPr>
            <w:r>
              <w:rPr>
                <w:color w:val="000000" w:themeColor="text1"/>
                <w:szCs w:val="24"/>
              </w:rPr>
              <w:t xml:space="preserve">The postgraduate is supervised by master tutor and steering group. The establishment of steering group which aims to optimize the academic environment of students will be good for cultivating students’ spirit of cooperation. </w:t>
            </w:r>
          </w:p>
          <w:p>
            <w:pPr>
              <w:pStyle w:val="10"/>
              <w:spacing w:line="360" w:lineRule="auto"/>
              <w:ind w:firstLine="480" w:firstLineChars="200"/>
              <w:rPr>
                <w:color w:val="000000" w:themeColor="text1"/>
                <w:szCs w:val="21"/>
              </w:rPr>
            </w:pPr>
            <w:r>
              <w:rPr>
                <w:color w:val="000000" w:themeColor="text1"/>
                <w:szCs w:val="21"/>
              </w:rPr>
              <w:t>The teaching method should be helpful to both teachers and students and suit the ability of each student. It could be in various ways, such as classroom teaching, self-studying, class discussing, writing report, or writing reading notes. The combination of classroom teaching and class discussing during class time will allow the teacher to full play his/her role in class and excite the study enthusiasm of students. The students should grasp scientific research method and technology while studying basic theories and specialized knowledge at school. Teaching should be pragmatic and examination should be strict.</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hint="eastAsia" w:ascii="Times New Roman" w:hAnsi="Times New Roman"/>
                <w:b/>
                <w:bCs/>
                <w:color w:val="000000" w:themeColor="text1"/>
                <w:sz w:val="24"/>
                <w:szCs w:val="24"/>
              </w:rPr>
              <w:t>七</w:t>
            </w:r>
            <w:r>
              <w:rPr>
                <w:rFonts w:ascii="Times New Roman" w:hAnsi="Times New Roman"/>
                <w:b/>
                <w:bCs/>
                <w:color w:val="000000" w:themeColor="text1"/>
                <w:sz w:val="24"/>
                <w:szCs w:val="24"/>
              </w:rPr>
              <w:t xml:space="preserve">、培养过程实施  Performance of </w:t>
            </w:r>
            <w:r>
              <w:rPr>
                <w:rFonts w:hint="eastAsia" w:ascii="Times New Roman" w:hAnsi="Times New Roman"/>
                <w:b/>
                <w:bCs/>
                <w:color w:val="000000" w:themeColor="text1"/>
                <w:sz w:val="24"/>
                <w:szCs w:val="24"/>
              </w:rPr>
              <w:t>T</w:t>
            </w:r>
            <w:r>
              <w:rPr>
                <w:rFonts w:ascii="Times New Roman" w:hAnsi="Times New Roman"/>
                <w:b/>
                <w:bCs/>
                <w:color w:val="000000" w:themeColor="text1"/>
                <w:sz w:val="24"/>
                <w:szCs w:val="24"/>
              </w:rPr>
              <w:t xml:space="preserve">raining </w:t>
            </w:r>
            <w:r>
              <w:rPr>
                <w:rFonts w:hint="eastAsia" w:ascii="Times New Roman" w:hAnsi="Times New Roman"/>
                <w:b/>
                <w:bCs/>
                <w:color w:val="000000" w:themeColor="text1"/>
                <w:sz w:val="24"/>
                <w:szCs w:val="24"/>
              </w:rPr>
              <w:t>P</w:t>
            </w:r>
            <w:r>
              <w:rPr>
                <w:rFonts w:ascii="Times New Roman" w:hAnsi="Times New Roman"/>
                <w:b/>
                <w:bCs/>
                <w:color w:val="000000" w:themeColor="text1"/>
                <w:sz w:val="24"/>
                <w:szCs w:val="24"/>
              </w:rPr>
              <w:t>rocess</w:t>
            </w:r>
          </w:p>
          <w:p>
            <w:pPr>
              <w:pStyle w:val="61"/>
              <w:spacing w:before="120"/>
              <w:ind w:firstLine="480" w:firstLineChars="200"/>
              <w:rPr>
                <w:rFonts w:ascii="Times New Roman" w:hAnsi="Times New Roman"/>
                <w:color w:val="000000" w:themeColor="text1"/>
                <w:sz w:val="24"/>
              </w:rPr>
            </w:pPr>
            <w:r>
              <w:rPr>
                <w:rFonts w:ascii="Times New Roman" w:hAnsi="Times New Roman"/>
                <w:color w:val="000000" w:themeColor="text1"/>
                <w:sz w:val="24"/>
              </w:rPr>
              <w:t>根据《浙江科技学院关于外国来华留学硕士研究生培养工作规定（试行）》，加强研究生培养的目标管理，学院和学位点对研究生的课程教学、开题报告、学术活动、指导小组的确定、个人培养计划的制定和执行、中期考核以及学位论文的评阅和答辩等环节严格管理并加强检查，确保研究生培养质量。</w:t>
            </w:r>
          </w:p>
          <w:p>
            <w:pPr>
              <w:pStyle w:val="10"/>
              <w:spacing w:line="360" w:lineRule="auto"/>
              <w:ind w:firstLine="480" w:firstLineChars="200"/>
              <w:rPr>
                <w:color w:val="000000" w:themeColor="text1"/>
                <w:szCs w:val="24"/>
              </w:rPr>
            </w:pPr>
            <w:r>
              <w:rPr>
                <w:color w:val="000000" w:themeColor="text1"/>
                <w:szCs w:val="24"/>
              </w:rPr>
              <w:t xml:space="preserve">According to the “Regulations for overseas postgraduates education of Zhejiang University of Science and Technology (trial version)”, the subordinate school should strengthen the management of students education to ensure the quality of students, including course teaching, thesis proposal, academic activity, establishment of steering group, the formulation and implementation of personal training schedule, interim assessment and the arrangement of appraisement and the defence of graduation thesis. </w:t>
            </w:r>
            <w:r>
              <w:rPr>
                <w:b/>
                <w:bCs/>
                <w:color w:val="000000" w:themeColor="text1"/>
                <w:szCs w:val="24"/>
              </w:rPr>
              <w:t xml:space="preserve"> </w:t>
            </w:r>
          </w:p>
          <w:p>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（一）制订个人培养计划 </w:t>
            </w:r>
            <w:r>
              <w:rPr>
                <w:rFonts w:hint="eastAsia" w:ascii="Times New Roman" w:hAnsi="Times New Roman"/>
                <w:color w:val="000000" w:themeColor="text1"/>
                <w:sz w:val="24"/>
                <w:szCs w:val="24"/>
              </w:rPr>
              <w:t>P</w:t>
            </w:r>
            <w:r>
              <w:rPr>
                <w:rFonts w:ascii="Times New Roman" w:hAnsi="Times New Roman"/>
                <w:color w:val="000000" w:themeColor="text1"/>
                <w:sz w:val="24"/>
                <w:szCs w:val="24"/>
              </w:rPr>
              <w:t xml:space="preserve">ersonal </w:t>
            </w:r>
            <w:r>
              <w:rPr>
                <w:rFonts w:hint="eastAsia" w:ascii="Times New Roman" w:hAnsi="Times New Roman"/>
                <w:color w:val="000000" w:themeColor="text1"/>
                <w:sz w:val="24"/>
                <w:szCs w:val="24"/>
              </w:rPr>
              <w:t>T</w:t>
            </w:r>
            <w:r>
              <w:rPr>
                <w:rFonts w:ascii="Times New Roman" w:hAnsi="Times New Roman"/>
                <w:color w:val="000000" w:themeColor="text1"/>
                <w:sz w:val="24"/>
                <w:szCs w:val="24"/>
              </w:rPr>
              <w:t xml:space="preserve">raining </w:t>
            </w:r>
            <w:r>
              <w:rPr>
                <w:rFonts w:hint="eastAsia" w:ascii="Times New Roman" w:hAnsi="Times New Roman"/>
                <w:color w:val="000000" w:themeColor="text1"/>
                <w:sz w:val="24"/>
                <w:szCs w:val="24"/>
              </w:rPr>
              <w:t>P</w:t>
            </w:r>
            <w:r>
              <w:rPr>
                <w:rFonts w:ascii="Times New Roman" w:hAnsi="Times New Roman"/>
                <w:color w:val="000000" w:themeColor="text1"/>
                <w:sz w:val="24"/>
                <w:szCs w:val="24"/>
              </w:rPr>
              <w:t>roposal</w:t>
            </w:r>
          </w:p>
          <w:p>
            <w:pPr>
              <w:spacing w:line="360" w:lineRule="auto"/>
              <w:ind w:firstLine="435"/>
              <w:rPr>
                <w:rFonts w:ascii="Times New Roman" w:hAnsi="Times New Roman"/>
                <w:color w:val="000000" w:themeColor="text1"/>
                <w:sz w:val="24"/>
                <w:szCs w:val="24"/>
              </w:rPr>
            </w:pPr>
            <w:r>
              <w:rPr>
                <w:rFonts w:ascii="Times New Roman" w:hAnsi="Times New Roman"/>
                <w:color w:val="000000" w:themeColor="text1"/>
                <w:sz w:val="24"/>
                <w:szCs w:val="24"/>
              </w:rPr>
              <w:t>研究生入学后一个月内，在导师的指导下根据本学科培养方案和研究生本人的具体情况确定研究方向与制订个人培养计划，经学位点负责人审定后实施。</w:t>
            </w:r>
          </w:p>
          <w:p>
            <w:pPr>
              <w:spacing w:line="360" w:lineRule="auto"/>
              <w:ind w:firstLine="435"/>
              <w:rPr>
                <w:rFonts w:ascii="Times New Roman" w:hAnsi="Times New Roman"/>
                <w:color w:val="000000" w:themeColor="text1"/>
                <w:sz w:val="24"/>
                <w:szCs w:val="24"/>
              </w:rPr>
            </w:pPr>
            <w:r>
              <w:rPr>
                <w:rFonts w:ascii="Times New Roman" w:hAnsi="Times New Roman"/>
                <w:color w:val="000000" w:themeColor="text1"/>
                <w:sz w:val="24"/>
                <w:szCs w:val="24"/>
              </w:rPr>
              <w:t>The graduate students should decide their research directions and make their individual training proposals under the guidance of their supervisors according to the training program and their specific conditions within one month of enrolling, and the training proposals will be implemented with the approv</w:t>
            </w:r>
            <w:r>
              <w:rPr>
                <w:rFonts w:hint="eastAsia" w:ascii="Times New Roman" w:hAnsi="Times New Roman"/>
                <w:color w:val="000000" w:themeColor="text1"/>
                <w:sz w:val="24"/>
                <w:szCs w:val="24"/>
              </w:rPr>
              <w:t>al</w:t>
            </w:r>
            <w:r>
              <w:rPr>
                <w:rFonts w:ascii="Times New Roman" w:hAnsi="Times New Roman"/>
                <w:color w:val="000000" w:themeColor="text1"/>
                <w:sz w:val="24"/>
                <w:szCs w:val="24"/>
              </w:rPr>
              <w:t xml:space="preserve"> of the head of the academic degree program. </w:t>
            </w:r>
          </w:p>
          <w:p>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（二）开题报告 Opening Report</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研究生应系统地查阅国内外有关文献，了解国内外</w:t>
            </w:r>
            <w:r>
              <w:rPr>
                <w:rFonts w:hint="eastAsia" w:ascii="Times New Roman" w:hAnsi="Times New Roman"/>
                <w:color w:val="000000" w:themeColor="text1"/>
                <w:sz w:val="24"/>
                <w:szCs w:val="24"/>
              </w:rPr>
              <w:t>学术</w:t>
            </w:r>
            <w:r>
              <w:rPr>
                <w:rFonts w:ascii="Times New Roman" w:hAnsi="Times New Roman"/>
                <w:color w:val="000000" w:themeColor="text1"/>
                <w:sz w:val="24"/>
                <w:szCs w:val="24"/>
              </w:rPr>
              <w:t>动态，并对收集的资料做出分析和评述，指出需要解决的问题和方法，在导师指导下提出论文工作计划，并做开题报告。</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 xml:space="preserve">The graduate students should systematic consult domestic and foreign </w:t>
            </w:r>
            <w:r>
              <w:rPr>
                <w:rFonts w:hint="eastAsia" w:ascii="Times New Roman" w:hAnsi="Times New Roman"/>
                <w:color w:val="000000" w:themeColor="text1"/>
                <w:sz w:val="24"/>
                <w:szCs w:val="24"/>
              </w:rPr>
              <w:t>thesis,</w:t>
            </w:r>
            <w:r>
              <w:rPr>
                <w:rFonts w:ascii="Times New Roman" w:hAnsi="Times New Roman"/>
                <w:color w:val="000000" w:themeColor="text1"/>
                <w:sz w:val="24"/>
                <w:szCs w:val="24"/>
              </w:rPr>
              <w:t xml:space="preserve"> learn the developments of </w:t>
            </w:r>
            <w:r>
              <w:rPr>
                <w:rFonts w:hint="eastAsia" w:ascii="Times New Roman" w:hAnsi="Times New Roman"/>
                <w:color w:val="000000" w:themeColor="text1"/>
                <w:sz w:val="24"/>
                <w:szCs w:val="24"/>
              </w:rPr>
              <w:t>academic</w:t>
            </w:r>
            <w:r>
              <w:rPr>
                <w:rFonts w:ascii="Times New Roman" w:hAnsi="Times New Roman"/>
                <w:color w:val="000000" w:themeColor="text1"/>
                <w:sz w:val="24"/>
                <w:szCs w:val="24"/>
              </w:rPr>
              <w:t xml:space="preserve"> at home and aboard, analyze and review the collected information, point out the issues and the solutions, make the research proposals under the guidance of their supervisors, and give opening report.</w:t>
            </w:r>
          </w:p>
          <w:p>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（三）学位论文 Dissertation</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学位论文必须在导师的指导下由研究生本人独立完成。</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The dissertation should be completed independently by graduate students under the guidance of their supervisors.</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学位论文格式要求参见《浙江科技学院研究生学位论文格式的统一要求》。</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Dissertation format requirements refer to “Uniform format requirements for graduate dissertations of Zhejiang University of Science and Technology”</w:t>
            </w:r>
            <w:r>
              <w:rPr>
                <w:rFonts w:hint="eastAsia" w:ascii="Times New Roman" w:hAnsi="Times New Roman"/>
                <w:color w:val="000000" w:themeColor="text1"/>
                <w:sz w:val="24"/>
                <w:szCs w:val="24"/>
              </w:rPr>
              <w:t>.</w:t>
            </w:r>
          </w:p>
          <w:p>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（四）论文评阅、答辩 </w:t>
            </w:r>
            <w:r>
              <w:rPr>
                <w:rFonts w:hint="eastAsia" w:ascii="Times New Roman" w:hAnsi="Times New Roman"/>
                <w:color w:val="000000" w:themeColor="text1"/>
                <w:sz w:val="24"/>
                <w:szCs w:val="24"/>
              </w:rPr>
              <w:t>R</w:t>
            </w:r>
            <w:r>
              <w:rPr>
                <w:rFonts w:ascii="Times New Roman" w:hAnsi="Times New Roman"/>
                <w:color w:val="000000" w:themeColor="text1"/>
                <w:sz w:val="24"/>
                <w:szCs w:val="24"/>
              </w:rPr>
              <w:t xml:space="preserve">eview and </w:t>
            </w:r>
            <w:r>
              <w:rPr>
                <w:rFonts w:hint="eastAsia" w:ascii="Times New Roman" w:hAnsi="Times New Roman"/>
                <w:color w:val="000000" w:themeColor="text1"/>
                <w:sz w:val="24"/>
                <w:szCs w:val="24"/>
              </w:rPr>
              <w:t>D</w:t>
            </w:r>
            <w:r>
              <w:rPr>
                <w:rFonts w:ascii="Times New Roman" w:hAnsi="Times New Roman"/>
                <w:color w:val="000000" w:themeColor="text1"/>
                <w:sz w:val="24"/>
                <w:szCs w:val="24"/>
              </w:rPr>
              <w:t xml:space="preserve">efense of </w:t>
            </w:r>
            <w:r>
              <w:rPr>
                <w:rFonts w:hint="eastAsia" w:ascii="Times New Roman" w:hAnsi="Times New Roman"/>
                <w:color w:val="000000" w:themeColor="text1"/>
                <w:sz w:val="24"/>
                <w:szCs w:val="24"/>
              </w:rPr>
              <w:t>D</w:t>
            </w:r>
            <w:r>
              <w:rPr>
                <w:rFonts w:ascii="Times New Roman" w:hAnsi="Times New Roman"/>
                <w:color w:val="000000" w:themeColor="text1"/>
                <w:sz w:val="24"/>
                <w:szCs w:val="24"/>
              </w:rPr>
              <w:t>issertations</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参见《浙江科技学院关于研究生学位论文评阅及答辩工作的规定》。</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Refer to “Requirements of the review and defense for graduate dissertations of Zhejiang University of Science and Technology”</w:t>
            </w:r>
            <w:r>
              <w:rPr>
                <w:rFonts w:hint="eastAsia" w:ascii="Times New Roman" w:hAnsi="Times New Roman"/>
                <w:color w:val="000000" w:themeColor="text1"/>
                <w:sz w:val="24"/>
                <w:szCs w:val="24"/>
              </w:rPr>
              <w:t>.</w:t>
            </w:r>
          </w:p>
          <w:p>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（五）学位授予Degree-conferring</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 xml:space="preserve">参见《浙江科技学院硕士学位授予工作细则》。 </w:t>
            </w:r>
          </w:p>
          <w:p>
            <w:pPr>
              <w:adjustRightInd w:val="0"/>
              <w:snapToGrid w:val="0"/>
              <w:spacing w:line="360" w:lineRule="auto"/>
              <w:ind w:left="309" w:leftChars="147" w:firstLine="120" w:firstLineChars="50"/>
              <w:rPr>
                <w:rFonts w:ascii="Times New Roman" w:hAnsi="Times New Roman"/>
                <w:color w:val="000000" w:themeColor="text1"/>
                <w:sz w:val="24"/>
                <w:szCs w:val="24"/>
              </w:rPr>
            </w:pPr>
            <w:r>
              <w:rPr>
                <w:rFonts w:ascii="Times New Roman" w:hAnsi="Times New Roman"/>
                <w:color w:val="000000" w:themeColor="text1"/>
                <w:sz w:val="24"/>
                <w:szCs w:val="24"/>
              </w:rPr>
              <w:t xml:space="preserve">Refer to “Master’s Academic Degree-conferring Detailed Codes of Zhejiang University </w:t>
            </w:r>
          </w:p>
          <w:p>
            <w:pPr>
              <w:adjustRightInd w:val="0"/>
              <w:snapToGrid w:val="0"/>
              <w:spacing w:line="360" w:lineRule="auto"/>
              <w:ind w:left="362" w:leftChars="-23" w:hanging="410" w:hangingChars="171"/>
              <w:rPr>
                <w:rFonts w:ascii="Times New Roman" w:hAnsi="Times New Roman"/>
                <w:color w:val="000000" w:themeColor="text1"/>
                <w:sz w:val="24"/>
                <w:szCs w:val="24"/>
              </w:rPr>
            </w:pPr>
            <w:r>
              <w:rPr>
                <w:rFonts w:ascii="Times New Roman" w:hAnsi="Times New Roman"/>
                <w:color w:val="000000" w:themeColor="text1"/>
                <w:sz w:val="24"/>
                <w:szCs w:val="24"/>
              </w:rPr>
              <w:t>of Science and Technology”.</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 xml:space="preserve"> </w:t>
            </w:r>
          </w:p>
          <w:p>
            <w:pPr>
              <w:spacing w:beforeLines="50" w:line="360" w:lineRule="auto"/>
              <w:ind w:right="30"/>
              <w:jc w:val="center"/>
              <w:rPr>
                <w:rFonts w:ascii="Times New Roman" w:hAnsi="Times New Roman"/>
                <w:b/>
                <w:bCs/>
                <w:color w:val="000000" w:themeColor="text1"/>
                <w:spacing w:val="6"/>
                <w:kern w:val="0"/>
                <w:szCs w:val="21"/>
              </w:rPr>
            </w:pPr>
            <w:r>
              <w:rPr>
                <w:rFonts w:ascii="Times New Roman" w:hAnsi="Times New Roman"/>
                <w:b/>
                <w:color w:val="000000" w:themeColor="text1"/>
                <w:sz w:val="24"/>
                <w:szCs w:val="24"/>
              </w:rPr>
              <w:t>汉语国际教育外国来华留学硕士专业学位研究生课程设置</w:t>
            </w:r>
          </w:p>
          <w:tbl>
            <w:tblPr>
              <w:tblStyle w:val="30"/>
              <w:tblW w:w="76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59"/>
              <w:gridCol w:w="540"/>
              <w:gridCol w:w="621"/>
              <w:gridCol w:w="2250"/>
              <w:gridCol w:w="585"/>
              <w:gridCol w:w="615"/>
              <w:gridCol w:w="690"/>
              <w:gridCol w:w="67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atLeast"/>
                <w:jc w:val="center"/>
              </w:trPr>
              <w:tc>
                <w:tcPr>
                  <w:tcW w:w="828" w:type="dxa"/>
                  <w:gridSpan w:val="2"/>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类别</w:t>
                  </w:r>
                </w:p>
              </w:tc>
              <w:tc>
                <w:tcPr>
                  <w:tcW w:w="1161" w:type="dxa"/>
                  <w:gridSpan w:val="2"/>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课程</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编号</w:t>
                  </w:r>
                </w:p>
              </w:tc>
              <w:tc>
                <w:tcPr>
                  <w:tcW w:w="2250"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课程名称</w:t>
                  </w:r>
                </w:p>
              </w:tc>
              <w:tc>
                <w:tcPr>
                  <w:tcW w:w="58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总学 时</w:t>
                  </w:r>
                </w:p>
              </w:tc>
              <w:tc>
                <w:tcPr>
                  <w:tcW w:w="61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学分</w:t>
                  </w:r>
                </w:p>
              </w:tc>
              <w:tc>
                <w:tcPr>
                  <w:tcW w:w="690"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开课学期</w:t>
                  </w:r>
                </w:p>
              </w:tc>
              <w:tc>
                <w:tcPr>
                  <w:tcW w:w="67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考核</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方式</w:t>
                  </w:r>
                </w:p>
              </w:tc>
              <w:tc>
                <w:tcPr>
                  <w:tcW w:w="893" w:type="dxa"/>
                </w:tcPr>
                <w:p>
                  <w:pPr>
                    <w:adjustRightInd w:val="0"/>
                    <w:snapToGrid w:val="0"/>
                    <w:jc w:val="center"/>
                    <w:rPr>
                      <w:rFonts w:ascii="Times New Roman" w:hAnsi="Times New Roman"/>
                      <w:color w:val="000000" w:themeColor="text1"/>
                      <w:sz w:val="18"/>
                      <w:szCs w:val="18"/>
                    </w:rPr>
                  </w:pPr>
                </w:p>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atLeast"/>
                <w:jc w:val="center"/>
              </w:trPr>
              <w:tc>
                <w:tcPr>
                  <w:tcW w:w="828" w:type="dxa"/>
                  <w:gridSpan w:val="2"/>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公</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共</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位</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w:t>
                  </w:r>
                </w:p>
              </w:tc>
              <w:tc>
                <w:tcPr>
                  <w:tcW w:w="1161" w:type="dxa"/>
                  <w:gridSpan w:val="2"/>
                  <w:vAlign w:val="center"/>
                </w:tcPr>
                <w:p>
                  <w:pPr>
                    <w:adjustRightInd w:val="0"/>
                    <w:snapToGrid w:val="0"/>
                    <w:rPr>
                      <w:rFonts w:ascii="Times New Roman" w:hAnsi="Times New Roman"/>
                      <w:color w:val="000000" w:themeColor="text1"/>
                      <w:szCs w:val="21"/>
                    </w:rPr>
                  </w:pPr>
                  <w:r>
                    <w:rPr>
                      <w:rFonts w:ascii="Times New Roman" w:hAnsi="Times New Roman"/>
                      <w:color w:val="000000" w:themeColor="text1"/>
                      <w:sz w:val="15"/>
                      <w:szCs w:val="15"/>
                    </w:rPr>
                    <w:t>0000152004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当代中国专题</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Contemporary Chinese Studies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restart"/>
                  <w:vAlign w:val="center"/>
                </w:tcPr>
                <w:p>
                  <w:pPr>
                    <w:adjustRightInd w:val="0"/>
                    <w:snapToGrid w:val="0"/>
                    <w:jc w:val="left"/>
                    <w:rPr>
                      <w:rFonts w:ascii="Times New Roman" w:hAnsi="Times New Roman"/>
                      <w:color w:val="000000" w:themeColor="text1"/>
                      <w:sz w:val="18"/>
                      <w:szCs w:val="18"/>
                    </w:rPr>
                  </w:pPr>
                  <w:r>
                    <w:rPr>
                      <w:rFonts w:ascii="Times New Roman" w:hAnsi="Times New Roman"/>
                      <w:color w:val="000000" w:themeColor="text1"/>
                      <w:sz w:val="18"/>
                      <w:szCs w:val="18"/>
                    </w:rPr>
                    <w:t>必修6学分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828" w:type="dxa"/>
                  <w:gridSpan w:val="2"/>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0000152005</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汉语语言学</w:t>
                  </w:r>
                  <w:r>
                    <w:rPr>
                      <w:rFonts w:hint="eastAsia" w:ascii="Times New Roman" w:hAnsi="Times New Roman"/>
                      <w:color w:val="000000" w:themeColor="text1"/>
                      <w:kern w:val="0"/>
                      <w:sz w:val="18"/>
                      <w:szCs w:val="18"/>
                    </w:rPr>
                    <w:t>导论</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Introduction to</w:t>
                  </w:r>
                  <w:r>
                    <w:rPr>
                      <w:rFonts w:hint="eastAsia" w:ascii="Times New Roman" w:hAnsi="Times New Roman"/>
                      <w:color w:val="000000" w:themeColor="text1"/>
                      <w:kern w:val="0"/>
                      <w:sz w:val="18"/>
                      <w:szCs w:val="18"/>
                    </w:rPr>
                    <w:t xml:space="preserve"> </w:t>
                  </w:r>
                  <w:r>
                    <w:rPr>
                      <w:rFonts w:ascii="Times New Roman" w:hAnsi="Times New Roman"/>
                      <w:color w:val="000000" w:themeColor="text1"/>
                      <w:kern w:val="0"/>
                      <w:sz w:val="18"/>
                      <w:szCs w:val="18"/>
                    </w:rPr>
                    <w:t>Chinese Linguistics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jc w:val="left"/>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828" w:type="dxa"/>
                  <w:gridSpan w:val="2"/>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0000152006</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高级汉语</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Advanced Chinese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jc w:val="left"/>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jc w:val="center"/>
              </w:trPr>
              <w:tc>
                <w:tcPr>
                  <w:tcW w:w="469" w:type="dxa"/>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学科学位课</w:t>
                  </w:r>
                </w:p>
              </w:tc>
              <w:tc>
                <w:tcPr>
                  <w:tcW w:w="359"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核心课程</w:t>
                  </w: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1504534001</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汉语作为第二语言教学</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Teaching Chinese as a second language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64</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4</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restart"/>
                  <w:vAlign w:val="center"/>
                </w:tcPr>
                <w:p>
                  <w:pPr>
                    <w:spacing w:line="200" w:lineRule="exact"/>
                    <w:rPr>
                      <w:rFonts w:ascii="Times New Roman" w:hAnsi="Times New Roman"/>
                      <w:color w:val="000000" w:themeColor="text1"/>
                      <w:szCs w:val="21"/>
                    </w:rPr>
                  </w:pPr>
                  <w:r>
                    <w:rPr>
                      <w:rFonts w:ascii="Times New Roman" w:hAnsi="Times New Roman"/>
                      <w:color w:val="000000" w:themeColor="text1"/>
                      <w:sz w:val="18"/>
                      <w:szCs w:val="18"/>
                    </w:rPr>
                    <w:t>必修12学分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1504532002</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第二语言习得</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Second Language Acquisition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1504532003</w:t>
                  </w:r>
                </w:p>
              </w:tc>
              <w:tc>
                <w:tcPr>
                  <w:tcW w:w="2250" w:type="dxa"/>
                </w:tcPr>
                <w:p>
                  <w:pPr>
                    <w:spacing w:line="200" w:lineRule="exact"/>
                    <w:jc w:val="center"/>
                    <w:rPr>
                      <w:rFonts w:ascii="Times New Roman" w:hAnsi="Times New Roman"/>
                      <w:color w:val="000000" w:themeColor="text1"/>
                      <w:kern w:val="0"/>
                      <w:sz w:val="18"/>
                      <w:szCs w:val="18"/>
                    </w:rPr>
                  </w:pP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国外汉语课堂教学案例</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Overseas Chinese Teaching Cases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1504532004</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中华文化与传播</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Chinese Culture and Communication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1504532005</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跨文化交际</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Intercultural Communication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扩展课程</w:t>
                  </w:r>
                </w:p>
              </w:tc>
              <w:tc>
                <w:tcPr>
                  <w:tcW w:w="540" w:type="dxa"/>
                  <w:vMerge w:val="restart"/>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汉语知识及其教学类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1504532007</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汉外语言对比与偏误分析</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 Comparison and Contrast between Chinese and Foreign Languages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restart"/>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kern w:val="0"/>
                      <w:sz w:val="18"/>
                      <w:szCs w:val="18"/>
                    </w:rPr>
                    <w:t>扩展课程三个类别必须至少各选一门课，且选修学分不少于10学分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1504532008</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汉语教材与教学资源</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Chinese Teaching Materials and Teaching Resources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restart"/>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中华文化传播与跨文化类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1504532018</w:t>
                  </w:r>
                </w:p>
              </w:tc>
              <w:tc>
                <w:tcPr>
                  <w:tcW w:w="2250" w:type="dxa"/>
                  <w:vAlign w:val="center"/>
                </w:tcPr>
                <w:p>
                  <w:pPr>
                    <w:spacing w:line="200" w:lineRule="exact"/>
                    <w:jc w:val="center"/>
                    <w:rPr>
                      <w:rFonts w:ascii="Times New Roman" w:hAnsi="Times New Roman"/>
                      <w:color w:val="000000" w:themeColor="text1"/>
                      <w:kern w:val="0"/>
                      <w:sz w:val="18"/>
                      <w:szCs w:val="18"/>
                    </w:rPr>
                  </w:pP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中华文化经典         Classical Chinese cultures</w:t>
                  </w:r>
                </w:p>
                <w:p>
                  <w:pPr>
                    <w:spacing w:line="200" w:lineRule="exact"/>
                    <w:jc w:val="center"/>
                    <w:rPr>
                      <w:rFonts w:ascii="Times New Roman" w:hAnsi="Times New Roman"/>
                      <w:color w:val="000000" w:themeColor="text1"/>
                      <w:kern w:val="0"/>
                      <w:sz w:val="18"/>
                      <w:szCs w:val="18"/>
                    </w:rPr>
                  </w:pP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1504531012</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中外文化比较       Comparison between  Chinese and Foreign Cultures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2"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restart"/>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教育与教学管理类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1504532012</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外语教育心理学</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Foreign Language Education Psychology</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1504531015</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国别汉语教学调查分析Chinese Teaching Investigation and Analysis in Different Countries           </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汉语国际推广专题</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International Promotion of Chinese Language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训练课程</w:t>
                  </w: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1504533015</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课程设计与实践（现代教育技术应用；汉语教学资源及其利用；教学测试与评估设计）Curriculum Design and Practice </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48</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1-3</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必选4学分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5"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1504531016</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中华文化才艺与展示</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Talents and Presentation of Chinese Culture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28" w:type="dxa"/>
                  <w:gridSpan w:val="2"/>
                  <w:vMerge w:val="restart"/>
                  <w:vAlign w:val="center"/>
                </w:tcPr>
                <w:p>
                  <w:pPr>
                    <w:adjustRightInd w:val="0"/>
                    <w:snapToGrid w:val="0"/>
                    <w:jc w:val="center"/>
                    <w:rPr>
                      <w:rFonts w:ascii="Times New Roman" w:hAnsi="Times New Roman"/>
                      <w:color w:val="000000" w:themeColor="text1"/>
                      <w:sz w:val="18"/>
                      <w:szCs w:val="18"/>
                    </w:rPr>
                  </w:pP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必</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修</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环</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节</w:t>
                  </w: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1504531004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专题讲座</w:t>
                  </w:r>
                </w:p>
                <w:p>
                  <w:pPr>
                    <w:pStyle w:val="10"/>
                    <w:adjustRightInd w:val="0"/>
                    <w:snapToGrid w:val="0"/>
                    <w:spacing w:line="200" w:lineRule="exact"/>
                    <w:ind w:firstLine="405"/>
                    <w:jc w:val="center"/>
                    <w:rPr>
                      <w:color w:val="000000" w:themeColor="text1"/>
                      <w:sz w:val="18"/>
                      <w:szCs w:val="18"/>
                    </w:rPr>
                  </w:pPr>
                  <w:r>
                    <w:rPr>
                      <w:color w:val="000000" w:themeColor="text1"/>
                      <w:sz w:val="18"/>
                      <w:szCs w:val="18"/>
                    </w:rPr>
                    <w:t>Lectures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10次</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1-4</w:t>
                  </w:r>
                </w:p>
              </w:tc>
              <w:tc>
                <w:tcPr>
                  <w:tcW w:w="675" w:type="dxa"/>
                  <w:vAlign w:val="center"/>
                </w:tcPr>
                <w:p>
                  <w:pPr>
                    <w:pStyle w:val="10"/>
                    <w:adjustRightInd w:val="0"/>
                    <w:snapToGrid w:val="0"/>
                    <w:ind w:firstLine="0" w:firstLineChars="0"/>
                    <w:rPr>
                      <w:color w:val="000000" w:themeColor="text1"/>
                      <w:sz w:val="18"/>
                      <w:szCs w:val="18"/>
                    </w:rPr>
                  </w:pPr>
                  <w:r>
                    <w:rPr>
                      <w:color w:val="000000" w:themeColor="text1"/>
                      <w:sz w:val="18"/>
                      <w:szCs w:val="18"/>
                    </w:rPr>
                    <w:t>考查</w:t>
                  </w:r>
                </w:p>
              </w:tc>
              <w:tc>
                <w:tcPr>
                  <w:tcW w:w="893" w:type="dxa"/>
                  <w:vMerge w:val="restart"/>
                  <w:vAlign w:val="center"/>
                </w:tcPr>
                <w:p>
                  <w:pPr>
                    <w:adjustRightInd w:val="0"/>
                    <w:snapToGrid w:val="0"/>
                    <w:jc w:val="center"/>
                    <w:rPr>
                      <w:rFonts w:ascii="Times New Roman" w:hAnsi="Times New Roman"/>
                      <w:color w:val="000000" w:themeColor="text1"/>
                      <w:sz w:val="18"/>
                      <w:szCs w:val="18"/>
                    </w:rPr>
                  </w:pP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必</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修8学分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828" w:type="dxa"/>
                  <w:gridSpan w:val="2"/>
                  <w:vMerge w:val="continue"/>
                  <w:vAlign w:val="center"/>
                </w:tcPr>
                <w:p>
                  <w:pPr>
                    <w:adjustRightInd w:val="0"/>
                    <w:snapToGrid w:val="0"/>
                    <w:rPr>
                      <w:rFonts w:ascii="Times New Roman" w:hAnsi="Times New Roman"/>
                      <w:color w:val="000000" w:themeColor="text1"/>
                      <w:szCs w:val="21"/>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1504531005</w:t>
                  </w:r>
                </w:p>
              </w:tc>
              <w:tc>
                <w:tcPr>
                  <w:tcW w:w="2250" w:type="dxa"/>
                  <w:vAlign w:val="center"/>
                </w:tcPr>
                <w:p>
                  <w:pPr>
                    <w:spacing w:line="200" w:lineRule="exact"/>
                    <w:jc w:val="center"/>
                    <w:rPr>
                      <w:rFonts w:ascii="Times New Roman" w:hAnsi="Times New Roman"/>
                      <w:color w:val="000000" w:themeColor="text1"/>
                      <w:sz w:val="18"/>
                      <w:szCs w:val="18"/>
                    </w:rPr>
                  </w:pPr>
                  <w:r>
                    <w:rPr>
                      <w:rFonts w:ascii="Times New Roman" w:hAnsi="Times New Roman"/>
                      <w:color w:val="000000" w:themeColor="text1"/>
                      <w:kern w:val="0"/>
                      <w:sz w:val="18"/>
                      <w:szCs w:val="18"/>
                    </w:rPr>
                    <w:t>文化体验（</w:t>
                  </w:r>
                  <w:r>
                    <w:rPr>
                      <w:rFonts w:ascii="Times New Roman" w:hAnsi="Times New Roman"/>
                      <w:color w:val="000000" w:themeColor="text1"/>
                      <w:sz w:val="18"/>
                      <w:szCs w:val="18"/>
                    </w:rPr>
                    <w:t>中国文化或中外文化交流体验活动</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Cultural Experience (Chinese Cultural Activity or Chinese Foreign Cultural Exchange Activity)</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10次</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1-4</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828" w:type="dxa"/>
                  <w:gridSpan w:val="2"/>
                  <w:vMerge w:val="continue"/>
                  <w:vAlign w:val="center"/>
                </w:tcPr>
                <w:p>
                  <w:pPr>
                    <w:adjustRightInd w:val="0"/>
                    <w:snapToGrid w:val="0"/>
                    <w:rPr>
                      <w:rFonts w:ascii="Times New Roman" w:hAnsi="Times New Roman"/>
                      <w:color w:val="000000" w:themeColor="text1"/>
                      <w:szCs w:val="21"/>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1504536003</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教学实习</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Teaching Practice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不少于半年</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6</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3-4</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bl>
          <w:p>
            <w:pPr>
              <w:spacing w:line="360" w:lineRule="auto"/>
              <w:rPr>
                <w:rFonts w:ascii="仿宋_GB2312" w:hAnsi="仿宋" w:eastAsia="仿宋_GB2312" w:cs="黑体"/>
                <w:b/>
                <w:color w:val="000000" w:themeColor="text1"/>
                <w:sz w:val="32"/>
                <w:szCs w:val="32"/>
              </w:rPr>
            </w:pPr>
          </w:p>
          <w:p>
            <w:pPr>
              <w:spacing w:line="360" w:lineRule="auto"/>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对汉语国际教育硕士专业学位研究生指导性培养方案的落实情况</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根据《中华人民共和国学位条例》、《中华人民共和国学位条例暂行实施办法》和教育部《关于做好全日制硕士专业学位研究生培养工作的若干意见》的要求，结合本学位点的具体情况，有序而规范地实施各项教学工作。主要体现在以下几方面：</w:t>
            </w:r>
          </w:p>
          <w:p>
            <w:pPr>
              <w:spacing w:line="360" w:lineRule="auto"/>
              <w:ind w:firstLine="482" w:firstLineChars="200"/>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1.层次分明、应用凸显的重实效的课程体系</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本学位点的课程设置以实际应用为导向，以国际汉语教师的职业需求为目标，围绕汉语教学能力、中华文化传播和跨文化交际能力的培养，形成以核心课程为主导、模块拓展为补充、实践训练为重点的课程体系。核心课程主要包括汉语作为第二语言教学、第二语言习得、国外汉语课堂教学案例、跨文化交际等。拓展课程由汉语知识及其教学类课程、中华文化传播与跨文化类课程、教育与教学管理类课程构成；训练课程包括课程设计与实践、中华才艺与展示。课程设置以能力为重，使硕士生具备与国际汉语教师职业相衔接的专业素养，</w:t>
            </w:r>
            <w:r>
              <w:rPr>
                <w:rFonts w:hint="eastAsia" w:asciiTheme="minorEastAsia" w:hAnsiTheme="minorEastAsia"/>
                <w:color w:val="000000" w:themeColor="text1"/>
                <w:kern w:val="0"/>
                <w:sz w:val="24"/>
                <w:szCs w:val="24"/>
              </w:rPr>
              <w:t>熟练的汉语作为第二语言教学技能，以及熟练运用现代教育技术和科技手段的教学能力。</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在教学方法方面，注重实效，采用展示汇报、讲座、讨论、观摩、实践、体验等多种教学方式，在短时间内有效训练学生的问题分析能力、问题解决能力和实践能力，提升学生未来作为优秀国际汉语教师的综合能力和素质。</w:t>
            </w:r>
          </w:p>
          <w:p>
            <w:pPr>
              <w:spacing w:line="360" w:lineRule="auto"/>
              <w:ind w:firstLine="480" w:firstLineChars="200"/>
              <w:rPr>
                <w:rFonts w:asciiTheme="minorEastAsia" w:hAnsiTheme="minorEastAsia"/>
                <w:color w:val="000000" w:themeColor="text1"/>
                <w:sz w:val="24"/>
                <w:szCs w:val="24"/>
              </w:rPr>
            </w:pPr>
            <w:r>
              <w:rPr>
                <w:rFonts w:hint="eastAsia" w:cs="仿宋_GB2312" w:asciiTheme="minorEastAsia" w:hAnsiTheme="minorEastAsia"/>
                <w:color w:val="000000" w:themeColor="text1"/>
                <w:sz w:val="24"/>
                <w:szCs w:val="24"/>
              </w:rPr>
              <w:t>为了适应本专业硕士生海外开展汉语教学的实习实践甚至就业的需求，特别分设英语、德语、日语三个语种的语言课，由学生结合自身特点和未来职业规划自行选修，提升其作为汉语国际教师的外语能力。</w:t>
            </w:r>
          </w:p>
          <w:p>
            <w:pPr>
              <w:spacing w:line="360" w:lineRule="auto"/>
              <w:ind w:firstLine="482" w:firstLineChars="200"/>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2.传习浙江地域文化为主的</w:t>
            </w:r>
            <w:r>
              <w:rPr>
                <w:rFonts w:hint="eastAsia" w:cs="仿宋_GB2312" w:asciiTheme="minorEastAsia" w:hAnsiTheme="minorEastAsia"/>
                <w:b/>
                <w:color w:val="000000" w:themeColor="text1"/>
                <w:sz w:val="24"/>
                <w:szCs w:val="24"/>
              </w:rPr>
              <w:t>课内外文化教学和实践</w:t>
            </w:r>
          </w:p>
          <w:p>
            <w:pPr>
              <w:spacing w:line="360" w:lineRule="auto"/>
              <w:ind w:firstLine="480" w:firstLineChars="200"/>
              <w:rPr>
                <w:rFonts w:asciiTheme="minorEastAsia" w:hAnsiTheme="minorEastAsia"/>
                <w:color w:val="000000" w:themeColor="text1"/>
                <w:sz w:val="24"/>
                <w:szCs w:val="24"/>
              </w:rPr>
            </w:pPr>
            <w:r>
              <w:rPr>
                <w:rFonts w:hint="eastAsia" w:cs="仿宋_GB2312" w:asciiTheme="minorEastAsia" w:hAnsiTheme="minorEastAsia"/>
                <w:color w:val="000000" w:themeColor="text1"/>
                <w:sz w:val="24"/>
                <w:szCs w:val="24"/>
              </w:rPr>
              <w:t>课内延请名师零距离传授浙派技艺。聘请国家级烹饪大师浙江旅游职业学院前烹饪系主任戴桂宝老师来校讲座，现场传授杭帮菜的选料特点、制作技巧等；聘请西冷印社著名浙派篆刻家沈继良先生举办篆刻连续讲座，学生现场篆刻，参加者初步掌握了浙派篆刻的一般技能和知识。课程《中华文化才艺与展示》以聘请校内外才艺名家专题讲座教习方式进行，课程结束后，学生均至少习得2项中华才艺，初步满足未来海外中华文化传播的需要。</w:t>
            </w:r>
          </w:p>
          <w:p>
            <w:pPr>
              <w:spacing w:line="360" w:lineRule="auto"/>
              <w:ind w:firstLine="56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课外多渠道知晓和掌握浙江地域文化。利用G20峰会，组织硕士生实地走访杭州各个社区、景点，了解历史上的杭州和今天的杭州，共同撰写由商务印书馆出版，为G20献礼的微博体中英文对照、图文并置的《微观杭州》，让世界了解杭州，深度了解和传播浙域文化；依托本院学生艺术团体“晴岚戏剧社”、“七碗茶社”活动组织硕士生传习越剧、浙江的茶礼茶艺等。</w:t>
            </w:r>
          </w:p>
          <w:p>
            <w:pPr>
              <w:spacing w:line="360" w:lineRule="auto"/>
              <w:ind w:firstLine="56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 xml:space="preserve">注重中华文化传播能力、跨文化交际能力以及活动设计组织能力的培养。硕士生通过直接组织、策划、参与各个讲座的筹备，和导师一起组织和辅导留学生参加“汉语桥”等各类留学生汉语比赛和各类中国文化活动，提升研究生的中华文化传播能力和跨文化交际能力。 </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针对留学生中国文化知识不够扎实的情况，专门为来华留学研究生开设了《中华文化经典》课程。课程注重历史和现实的统一，充分展示中华文化的各个方面，帮助学生熟悉中国文化，了解中国国情，认识中国文化标志和符号，能将所学知识用于海外中国文化传播推广。</w:t>
            </w:r>
          </w:p>
          <w:p>
            <w:pPr>
              <w:spacing w:line="360" w:lineRule="auto"/>
              <w:ind w:firstLine="482" w:firstLineChars="200"/>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3.实习和论文凸显汉语教学能力和汉语教学研究能力的培养</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在实习和论文进程中的每一个环节都以研究生教学和教学研究能力的培养为核心进行。</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（1）实习</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学院专门成立了教学实习指导小组，由负责研究生培养工作以及留学生本科教学工作的两位副院长牵头，遴选4位经验丰富的一线骨干教师组成实习指导团队，指导汉语国际教育硕士研究生课堂教学的各项实践教学活动。实习由岗前见习环节和正式实习环节构成。每位研究生均有导师和实习导师全程指导理论课以外的教学实践活动。</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岗前见习采取集中加分散的方式，以听课、说课、模拟试讲为主。硕士生先自选课堂分散观摩各课型，然后由擅长听说读写各课型教学的优秀教师准备公开课，全体硕士生听各课型公开课，然后硕士生在各公开课老师的指导下说课后模拟试讲，最后一次试讲过程为试讲比赛，全程拍摄教学录像，由全体主讲公开课的导师评奖点评，并就每生的录像教学提出意见或建议。</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本校每年有近500名土木、建筑、计算机、商贸等专业的本科留学生有初、中级汉语课堂，有初、中、高级的语言长期进修生和商务汉语专业课型完备的汉语课程体系，都可以直接成为在读研究生进行研究、观摩与从事教学实践的试验田。通过见习期的一年观摩，学生可以直接将课堂所学习的汉语教学理论和课堂观摩结合，并在见习老师的带领下集体备课讲课，将“学”与“教”相结合，深入践行教学实践为重的研究生教育。由多年从事留学生汉语的教师担任实习导师，这些实习导师将自己多年所形成的行之有效的听说读写操练模式和方法授之学生，在一年级下半年对学生短期集中强化培训，促使学生尽快将学到的知识转化为实际的教学技能，迅速适应教师岗位，完成角色转换。通过听课观摩和实操的比赛为研究生后期的顶岗教学提供了相应的质量保证。</w:t>
            </w:r>
          </w:p>
          <w:p>
            <w:pPr>
              <w:spacing w:line="360" w:lineRule="auto"/>
              <w:ind w:firstLine="48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此外，学院还实行助教制。一年级的硕士生担任各留学生汉语课程老师的助教，在主讲教师的安排下随堂听课，完成作业批改、课后辅导、课件和教具制作等汉语课堂教学的工作，使学生入学伊始即能在一线汉语教师的指导下接触汉语教学，除了感知各个教学环节，还可以了解其背后的理念，更进一步地体味课堂所学的教学理论和方法。</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正式实习环节为研究生实习开辟了三条渠道。一是安排在本校实习，专门组织经验丰富的优秀教师进行指导。二是组织学生报名参加汉办的志愿者项目去孔子学院实习，三是帮助学生联系海外和国内实习基地实习。为使研究生能发挥各自所长，更好适应目前多元化的汉语国际教育需要，在汉语国际教育的各具体行业环境中，掌握汉语国际教育的各项教学技能和教学管理技能。本学位点有意识建立教学对象和教学环境区别性明显的三类实习点。</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一是境内外中小学实习点。此类实习点又分境内外两类。境外实习点分布于印尼、泰国等东南亚地区，是以华裔青少年为对象的华文教学，学生可习得中小学华文教学的课堂教学和管理技能。境内为国际学校，教学对象为外籍家庭的的外籍孩子，学习环境为目的语环境，学生在此类实习点实习，更多习得以青少年为对象的汉语教学技能，跟未来的国内国际学校的就业无缝对接。</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二是美国名校境内学校的实习点。在美国明德大学杭州学校的实习点，教学对象为来自美国明德大学、普林斯顿大学、哥伦比亚大学等美国名校的大学生，其教学具欧美名校精英化教学的特点，学生在此类实习点实习，不仅可提升综合素质，也为未来去欧美国家任教打下很好的基础。</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三是商贸倾向的普适型实习点。浙江的义乌和绍兴为发展中国家外籍商人的聚集地，本学位点在两地分别建有实习点。尤其是浙江义乌工商学院的实习点，有来自世界80多个国家的商人或准商人学生学习汉语，学生在此实习，知晓并习得快餐式的职业汉语教学模式，为未来去“一带一路”等发展中国家就职提供便捷之路。</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 xml:space="preserve">无论在何实习点实习，均在实习导师的全程指导下，实习导师负责研究生培养过程中实习的各个环节监督、指导和管理。 </w:t>
            </w:r>
          </w:p>
          <w:p>
            <w:pPr>
              <w:spacing w:line="360" w:lineRule="auto"/>
              <w:ind w:firstLine="56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 xml:space="preserve">（2）论文 </w:t>
            </w:r>
          </w:p>
          <w:p>
            <w:pPr>
              <w:spacing w:line="360" w:lineRule="auto"/>
              <w:ind w:firstLine="56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强调学位论文写作的微问题导向，避免纯理论、纯语言本体研究，要求围绕汉语二语教学进行应用性分析和设计。论文100%与汉语国际教育相关。以论文的选题为导向手段，努力培养硕士生在国际汉语教育实践中发现问题的敏感性、分析汉语二语教学问题的学理性和科学性，注重培养硕士生的教学反思能力和教学研究能力。</w:t>
            </w:r>
          </w:p>
          <w:p>
            <w:pPr>
              <w:spacing w:line="312" w:lineRule="auto"/>
              <w:ind w:left="105" w:leftChars="50" w:right="105" w:rightChars="50"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学位点将学位论文质量作为重要工作，完善各种管理制度，设置质量提升方案。学位论文各环节的质量管理都严格而规范。</w:t>
            </w:r>
          </w:p>
          <w:p>
            <w:pPr>
              <w:spacing w:line="312" w:lineRule="auto"/>
              <w:ind w:left="105" w:leftChars="50" w:right="105" w:rightChars="50" w:firstLine="437"/>
              <w:rPr>
                <w:rFonts w:ascii="宋体" w:hAnsi="宋体" w:cs="宋体"/>
                <w:color w:val="000000" w:themeColor="text1"/>
                <w:sz w:val="24"/>
                <w:szCs w:val="24"/>
              </w:rPr>
            </w:pPr>
            <w:r>
              <w:rPr>
                <w:rFonts w:hint="eastAsia" w:ascii="宋体" w:hAnsi="宋体" w:cs="宋体"/>
                <w:color w:val="000000" w:themeColor="text1"/>
                <w:sz w:val="24"/>
                <w:szCs w:val="24"/>
              </w:rPr>
              <w:t>选题开题：选题要求能一定程度上解决汉语二语教学中的问题或至少提出对教学实践有一定启发性的设想和建议。</w:t>
            </w:r>
            <w:r>
              <w:rPr>
                <w:rFonts w:hint="eastAsia" w:cs="宋体" w:asciiTheme="minorEastAsia" w:hAnsiTheme="minorEastAsia"/>
                <w:color w:val="000000" w:themeColor="text1"/>
                <w:sz w:val="24"/>
                <w:szCs w:val="24"/>
              </w:rPr>
              <w:t>若学生自行要求更换论文题目，导师应该严格把关。</w:t>
            </w:r>
            <w:r>
              <w:rPr>
                <w:rFonts w:hint="eastAsia" w:ascii="宋体" w:hAnsi="宋体" w:cs="宋体"/>
                <w:color w:val="000000" w:themeColor="text1"/>
                <w:sz w:val="24"/>
                <w:szCs w:val="24"/>
              </w:rPr>
              <w:t>分组统一开题。</w:t>
            </w:r>
            <w:r>
              <w:rPr>
                <w:rFonts w:hint="eastAsia" w:cs="宋体" w:asciiTheme="minorEastAsia" w:hAnsiTheme="minorEastAsia"/>
                <w:color w:val="000000" w:themeColor="text1"/>
                <w:sz w:val="24"/>
                <w:szCs w:val="24"/>
              </w:rPr>
              <w:t>开题后，导师须充分重视开题小组的意见。</w:t>
            </w:r>
            <w:r>
              <w:rPr>
                <w:rFonts w:hint="eastAsia" w:ascii="宋体" w:hAnsi="宋体" w:cs="宋体"/>
                <w:color w:val="000000" w:themeColor="text1"/>
                <w:sz w:val="24"/>
                <w:szCs w:val="24"/>
              </w:rPr>
              <w:t>未通过开题报告论证者，半年后重新进行开题报告论证。</w:t>
            </w:r>
          </w:p>
          <w:p>
            <w:pPr>
              <w:spacing w:line="360" w:lineRule="auto"/>
              <w:ind w:firstLine="560"/>
              <w:rPr>
                <w:rFonts w:ascii="宋体" w:hAnsi="宋体" w:cs="宋体"/>
                <w:color w:val="000000" w:themeColor="text1"/>
                <w:sz w:val="24"/>
                <w:szCs w:val="24"/>
              </w:rPr>
            </w:pPr>
            <w:r>
              <w:rPr>
                <w:rFonts w:hint="eastAsia" w:ascii="宋体" w:hAnsi="宋体" w:cs="宋体"/>
                <w:color w:val="000000" w:themeColor="text1"/>
                <w:sz w:val="24"/>
                <w:szCs w:val="24"/>
              </w:rPr>
              <w:t>论文写作：内容要求理论正确，观点鲜明，资料翔实，思路清晰，文本规范。字数在3万字以上。论文涉及引用的资料和数据准确无误，不得隐瞒和剽窃他人的研究成果。</w:t>
            </w:r>
          </w:p>
          <w:p>
            <w:pPr>
              <w:spacing w:line="312" w:lineRule="auto"/>
              <w:ind w:left="105" w:leftChars="50" w:right="105" w:rightChars="50" w:firstLine="437"/>
              <w:rPr>
                <w:rFonts w:ascii="宋体" w:hAnsi="宋体" w:cs="宋体"/>
                <w:color w:val="000000" w:themeColor="text1"/>
                <w:sz w:val="24"/>
                <w:szCs w:val="24"/>
              </w:rPr>
            </w:pPr>
            <w:r>
              <w:rPr>
                <w:rFonts w:hint="eastAsia" w:ascii="宋体" w:hAnsi="宋体" w:cs="宋体"/>
                <w:color w:val="000000" w:themeColor="text1"/>
                <w:sz w:val="24"/>
                <w:szCs w:val="24"/>
              </w:rPr>
              <w:t>论文中期检查：由学位点统一组织学位论文的中期检查。检查的主要内容为：论文工作是否按开题报告预定的内容及进度进行；目前存在的或预期可能会出现的问题；论文按时完成的可能性等。</w:t>
            </w:r>
          </w:p>
          <w:p>
            <w:pPr>
              <w:spacing w:line="360" w:lineRule="auto"/>
              <w:ind w:firstLine="560"/>
              <w:rPr>
                <w:rFonts w:ascii="宋体" w:hAnsi="宋体" w:cs="宋体"/>
                <w:color w:val="000000" w:themeColor="text1"/>
                <w:sz w:val="24"/>
                <w:szCs w:val="24"/>
              </w:rPr>
            </w:pPr>
            <w:r>
              <w:rPr>
                <w:rFonts w:hint="eastAsia" w:ascii="宋体" w:hAnsi="宋体" w:cs="宋体"/>
                <w:color w:val="000000" w:themeColor="text1"/>
                <w:sz w:val="24"/>
                <w:szCs w:val="24"/>
              </w:rPr>
              <w:t>论文预答辩及送审评阅：学位点为完善硕士学位论文的质量监控体系，提高学位论文水平，保证质量，实行硕士学位论文预答辩制。评阅实行盲审制。评阅人由3位汉语国际教育领域内的校外教授或博士兼副教授担任。</w:t>
            </w:r>
            <w:r>
              <w:rPr>
                <w:rFonts w:hint="eastAsia" w:cs="宋体" w:asciiTheme="minorEastAsia" w:hAnsiTheme="minorEastAsia"/>
                <w:color w:val="000000" w:themeColor="text1"/>
                <w:sz w:val="24"/>
                <w:szCs w:val="24"/>
              </w:rPr>
              <w:t>论文评阅反馈后，学生须参考评阅人意见，在导师指导下认真修改并完成论文定稿。</w:t>
            </w:r>
          </w:p>
          <w:p>
            <w:pPr>
              <w:widowControl/>
              <w:snapToGrid w:val="0"/>
              <w:spacing w:line="312" w:lineRule="auto"/>
              <w:ind w:left="105" w:leftChars="50" w:right="105" w:rightChars="50"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论文答辩：答辩委员会由高级职称专家组成，外单位专家不少于1人。指导教师不作为答辩委员会成员。</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本学位点通过对上述制度的执行，为硕士生完成有质量的论文提供了保障，也为硕士生系统地熟悉并掌握国际汉语教育（尤其是课堂教学）的相关技能奠定了基础，提升其作为国际汉语教师的专业素养和研究解决汉语教学实际问题的能力。</w:t>
            </w:r>
          </w:p>
          <w:p>
            <w:pPr>
              <w:spacing w:line="360" w:lineRule="auto"/>
              <w:ind w:firstLine="482" w:firstLineChars="200"/>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4.重互联网语境下的现代教学技能培养</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鼓励学生奖将现代教育技术运用于汉语教学实践。组织每届学生精选一节课制成视频，建成汉语教学资源库，放在学院网站内部使用区，供研究生随时观看学习和教师作为案例点评。每次本专业专家来院讲座均由学生负责拍摄剪辑，近百场讲座均由研究生完成制作，成为教学资源库的重要组成部分。创建两个由导师指导，由汉语国际教育研究生为主要责任者的公号“汉语秀秀”和“语用学种草”。“汉语秀秀”由汉硕研究生编制，推送以歌曲、文章、朗诵、书法等的音频、视频为主，配图视频等由留学生完成，文本附有汉语拼音及英文翻译，方便汉语学习者阅读。“语用学种草”撰文编辑制作均由主要汉硕研究生完成，设有“吐秀”“争魁”“采撷”“奇葩”“108语言周/月榜”等栏目。文章内容丰富，结合网上热点或生活趣事，配上活泼有趣的图片为读者呈现语用知识。截至目前，公号共推送文章190篇，其中原创文章93篇，原创文章订阅量在300左右。公号中的不少优秀文章被“语言研究”等知名公号转载，阅读量纷纷破千乃至破万，赢得了一定的社会影响。“108语言榜”更是获得语言学同行的普遍认可与关注。</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汉硕研究生们通过参加汉语教学资源库建设，不仅锻炼了自身利用现代技术进行教学的的能力，还深入探究，不少同学撰写了利用自媒体、微信公号、网络直播、网络视频等多媒体方式进行汉语教学的毕业论文和课程论文。</w:t>
            </w:r>
          </w:p>
          <w:p>
            <w:pPr>
              <w:spacing w:line="360" w:lineRule="auto"/>
              <w:ind w:firstLine="482" w:firstLineChars="200"/>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5.教学质量的改进和完善</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由于本学位点为新建学位点，更需探索尝试。为保证研究生课程教学质量，不仅制定相应的教学质量保障规定，还抓落实，重改进，使教学过程的各环节不断完善提高。</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在实践中不断改进教学方法。及时改进和完善教学大纲，探索和改进教学方式，转变课程考核的形式和内容，以努力形成特色鲜明的培养方案、教学方法、课程考核体系。一方面， 坚持推进教学方法的改进，强调“理论课程在实践”，杜绝纯理论讲授的教学模式，各类课程均强调实践导向，努力做到每课有应用，将理论讲述与具体案例有机结合，使教学活动直观形象、易于接受；另一方面，合理改革考核方式，贴合实际要求。针对来华留学研究生汉语基础知识薄弱，汉语写作水平不高的现实，为来华留学研究生制定与之相应的考核内容和方式，促使留学生重视汉语本体知识的掌握和汉语写作能力的提升，有利于汉语教学的质量把控。</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另外，规定本学位点的教学督导及相关负责教师每学期须完成一定量的听课工作，深入一线教学，与授课教师共同探讨教学任务的实施；充分重视研究生的意见和建议，每学期开展教学座谈，广泛征集研究生的意见和建议，对学生关心的、反映比较突出的问题给予及时的反馈并改进；鼓励任课教师之间开展教学技能、教学研究等方面的切磋交流，同时也通过兄弟院校走访、观课等方式促进研究生教师、导师的教学技能和教学研究能力的提升。</w:t>
            </w:r>
          </w:p>
          <w:p>
            <w:pPr>
              <w:spacing w:line="360" w:lineRule="auto"/>
              <w:ind w:firstLine="420" w:firstLineChars="200"/>
              <w:rPr>
                <w:rFonts w:asciiTheme="minorEastAsia" w:hAnsiTheme="minorEastAsia"/>
                <w:color w:val="000000" w:themeColor="text1"/>
                <w:szCs w:val="21"/>
              </w:rPr>
            </w:pPr>
          </w:p>
          <w:p>
            <w:pPr>
              <w:spacing w:beforeLines="50" w:line="360" w:lineRule="auto"/>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创新课程</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我校的课程大部分是按教指委指导性培养方案的要求开设，部分课程进行了创新，有几门课程虽然是沿用指导性培养方案的名称，但我们力求根据我校自身优势和课程本身的特点在授课内容和授课形式上有所创新。主要有以下几门课程：</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1．中国思想文化</w:t>
            </w:r>
          </w:p>
          <w:p>
            <w:pPr>
              <w:spacing w:line="360" w:lineRule="auto"/>
              <w:ind w:firstLine="480" w:firstLineChars="200"/>
              <w:rPr>
                <w:rFonts w:ascii="宋体" w:hAnsi="宋体" w:eastAsia="宋体" w:cs="Times New Roman"/>
                <w:color w:val="000000" w:themeColor="text1"/>
                <w:sz w:val="24"/>
                <w:szCs w:val="24"/>
              </w:rPr>
            </w:pPr>
            <w:r>
              <w:rPr>
                <w:rFonts w:hint="eastAsia" w:cs="宋体"/>
                <w:color w:val="000000" w:themeColor="text1"/>
                <w:sz w:val="24"/>
                <w:szCs w:val="24"/>
              </w:rPr>
              <w:t>汉语国际教育专业培养的是汉语国际教育人才。不管是赴海外进行汉语国际教育和中华文化推广，还是在国内进行对外汉语教学，都需要中西文化贯通，要更好地接受和理解他国文化，顺利地实现成功的交际和教学，首先必须对本国文化有充分而深入地了解。该课程就是基于这样的原因开设的。两位任课教师凭借深厚的中国哲学修养，在教学上采取专题讲授，讲授与研读讨论相结合，以及讲授与原文解读相结合等方式，引领学生进入中国古代思想文化巨匠的世界。在短时间内帮助学生厘清中国思想文化的主要发展脉络，理解历史上各个学派的重要理念，进而使学生能够在对外汉语教学中，正确传达与解释相关的文化观点</w:t>
            </w:r>
            <w:r>
              <w:rPr>
                <w:rFonts w:hint="eastAsia" w:ascii="宋体" w:hAnsi="宋体" w:eastAsia="宋体" w:cs="Times New Roman"/>
                <w:color w:val="000000" w:themeColor="text1"/>
                <w:sz w:val="24"/>
                <w:szCs w:val="24"/>
              </w:rPr>
              <w:t>。</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2.中国传统文化评析</w:t>
            </w:r>
          </w:p>
          <w:p>
            <w:pPr>
              <w:spacing w:line="360" w:lineRule="auto"/>
              <w:ind w:firstLine="480" w:firstLineChars="200"/>
              <w:rPr>
                <w:rFonts w:asciiTheme="minorEastAsia" w:hAnsiTheme="minorEastAsia"/>
                <w:color w:val="000000" w:themeColor="text1"/>
                <w:sz w:val="24"/>
                <w:szCs w:val="24"/>
              </w:rPr>
            </w:pPr>
            <w:r>
              <w:rPr>
                <w:rFonts w:hint="eastAsia" w:cs="宋体"/>
                <w:color w:val="000000" w:themeColor="text1"/>
                <w:sz w:val="24"/>
                <w:szCs w:val="24"/>
              </w:rPr>
              <w:t>传播中国文化，尤其是中国传统文化是汉语教师的重要职责，为了让学生有较为深厚的中国传统文化功底，我校专门开始了</w:t>
            </w:r>
            <w:r>
              <w:rPr>
                <w:rFonts w:hint="eastAsia" w:asciiTheme="minorEastAsia" w:hAnsiTheme="minorEastAsia"/>
                <w:color w:val="000000" w:themeColor="text1"/>
                <w:sz w:val="24"/>
                <w:szCs w:val="24"/>
              </w:rPr>
              <w:t>中国传统文化评析课程。</w:t>
            </w:r>
            <w:r>
              <w:rPr>
                <w:rFonts w:hint="eastAsia" w:cs="宋体"/>
                <w:color w:val="000000" w:themeColor="text1"/>
                <w:sz w:val="24"/>
                <w:szCs w:val="24"/>
              </w:rPr>
              <w:t>该课程</w:t>
            </w:r>
            <w:r>
              <w:rPr>
                <w:rFonts w:cs="宋体"/>
                <w:color w:val="000000" w:themeColor="text1"/>
                <w:sz w:val="24"/>
                <w:szCs w:val="24"/>
              </w:rPr>
              <w:t>主要</w:t>
            </w:r>
            <w:r>
              <w:rPr>
                <w:rFonts w:hint="eastAsia" w:cs="宋体"/>
                <w:color w:val="000000" w:themeColor="text1"/>
                <w:sz w:val="24"/>
                <w:szCs w:val="24"/>
              </w:rPr>
              <w:t>着力于带有一定普遍性的中国传统文化形式，如中西文化异同、家国文化、地域文化、中国传统知识分子精神等，进行专题性的研讨</w:t>
            </w:r>
            <w:r>
              <w:rPr>
                <w:rFonts w:cs="宋体"/>
                <w:color w:val="000000" w:themeColor="text1"/>
                <w:sz w:val="24"/>
                <w:szCs w:val="24"/>
              </w:rPr>
              <w:t>。</w:t>
            </w:r>
            <w:r>
              <w:rPr>
                <w:rFonts w:hint="eastAsia" w:cs="宋体"/>
                <w:color w:val="000000" w:themeColor="text1"/>
                <w:sz w:val="24"/>
                <w:szCs w:val="24"/>
              </w:rPr>
              <w:t>通过对历史与中国传统文化中运行的基本规律的了解和研讨，让学生进一步了解中国历史与诸形式文化之间的相互融合共通关系。通过本课程的学习，逐渐培养和开拓学生的研究思路和方法，</w:t>
            </w:r>
            <w:r>
              <w:rPr>
                <w:rFonts w:cs="宋体"/>
                <w:color w:val="000000" w:themeColor="text1"/>
                <w:sz w:val="24"/>
                <w:szCs w:val="24"/>
              </w:rPr>
              <w:t>为</w:t>
            </w:r>
            <w:r>
              <w:rPr>
                <w:rFonts w:hint="eastAsia" w:cs="宋体"/>
                <w:color w:val="000000" w:themeColor="text1"/>
                <w:sz w:val="24"/>
                <w:szCs w:val="24"/>
              </w:rPr>
              <w:t>学生进行</w:t>
            </w:r>
            <w:r>
              <w:rPr>
                <w:rFonts w:cs="宋体"/>
                <w:color w:val="000000" w:themeColor="text1"/>
                <w:sz w:val="24"/>
                <w:szCs w:val="24"/>
              </w:rPr>
              <w:t>深入研究打下</w:t>
            </w:r>
            <w:r>
              <w:rPr>
                <w:rFonts w:hint="eastAsia" w:cs="宋体"/>
                <w:color w:val="000000" w:themeColor="text1"/>
                <w:sz w:val="24"/>
                <w:szCs w:val="24"/>
              </w:rPr>
              <w:t>基础。</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3.中华文化与才艺展示</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该课程的创新主要体现在授课内容和授课形式上。鉴于汉办志愿者选拔和海外汉语教学的需要，我们把该课程专门设置为以下几大模块供学生选择：书法、剪纸、篆刻、编艺、中国民族音乐和中国饮食文化等。授课形式上，我们打破了课堂授课的形式，邀请省内外，甚至国内外专家来校讲学，</w:t>
            </w:r>
            <w:r>
              <w:rPr>
                <w:rFonts w:hint="eastAsia" w:ascii="Times New Roman" w:hAnsi="宋体"/>
                <w:color w:val="000000" w:themeColor="text1"/>
                <w:sz w:val="24"/>
                <w:szCs w:val="24"/>
              </w:rPr>
              <w:t>比如西泠印社社员，浙江篆刻创作委员会委员沈继良先生，民间剪纸艺术传承人、杭州全洲文化发展有限公司总经理冯青龙先生，汉服研究设计师杜峻女士，中国烹饪协会会员、</w:t>
            </w:r>
            <w:r>
              <w:rPr>
                <w:rFonts w:ascii="Times New Roman" w:hAnsi="宋体"/>
                <w:color w:val="000000" w:themeColor="text1"/>
                <w:sz w:val="24"/>
                <w:szCs w:val="24"/>
              </w:rPr>
              <w:t>G20</w:t>
            </w:r>
            <w:r>
              <w:rPr>
                <w:rFonts w:hint="eastAsia" w:ascii="Times New Roman" w:hAnsi="宋体"/>
                <w:color w:val="000000" w:themeColor="text1"/>
                <w:sz w:val="24"/>
                <w:szCs w:val="24"/>
              </w:rPr>
              <w:t>峰会指定烹饪大师戴桂宝先生等，都分别给学生带来精彩的才艺和文化方面的讲座，让学生们受益匪浅。</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4.汉语国际推广专题</w:t>
            </w:r>
          </w:p>
          <w:p>
            <w:pPr>
              <w:spacing w:line="360" w:lineRule="auto"/>
              <w:ind w:firstLine="480" w:firstLineChars="200"/>
              <w:rPr>
                <w:rFonts w:asciiTheme="minorEastAsia" w:hAnsiTheme="minorEastAsia"/>
                <w:color w:val="000000" w:themeColor="text1"/>
                <w:sz w:val="24"/>
                <w:szCs w:val="24"/>
              </w:rPr>
            </w:pPr>
            <w:r>
              <w:rPr>
                <w:rFonts w:hint="eastAsia" w:asciiTheme="minorEastAsia" w:hAnsiTheme="minorEastAsia"/>
                <w:color w:val="000000" w:themeColor="text1"/>
                <w:sz w:val="24"/>
                <w:szCs w:val="24"/>
              </w:rPr>
              <w:t>该课程我们采用专题讲座的形式，专门聘请在汉语国际教育方面做出杰出贡献的海内外知名专家来校进行讲学。这些著名专家不仅跟我们分享先进的教育理念，还带来汉语国际教育的丰富经验，让学生深刻体会到“听君一席话，胜读十年书”的喜悦。</w:t>
            </w:r>
          </w:p>
          <w:p>
            <w:pPr>
              <w:spacing w:line="360" w:lineRule="auto"/>
              <w:ind w:firstLine="480" w:firstLineChars="200"/>
              <w:rPr>
                <w:rFonts w:ascii="仿宋_GB2312" w:hAnsi="仿宋" w:eastAsia="仿宋_GB2312" w:cs="黑体"/>
                <w:color w:val="000000" w:themeColor="text1"/>
                <w:sz w:val="32"/>
                <w:szCs w:val="32"/>
              </w:rPr>
            </w:pPr>
            <w:r>
              <w:rPr>
                <w:rFonts w:hint="eastAsia" w:asciiTheme="minorEastAsia" w:hAnsiTheme="minorEastAsia"/>
                <w:color w:val="000000" w:themeColor="text1"/>
                <w:sz w:val="24"/>
                <w:szCs w:val="24"/>
              </w:rPr>
              <w:t>总之，我们竭力在教学方面进行创新，通过课程创新，使学生开阔了眼界，增长了见识，最大限度地在短时间内提高文化修养和课堂教学技能，为他们更好地胜任汉语国际教育工作，打下了扎实的基础。</w:t>
            </w:r>
          </w:p>
        </w:tc>
      </w:tr>
    </w:tbl>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三、办学基本信息数据表</w:t>
      </w:r>
    </w:p>
    <w:tbl>
      <w:tblPr>
        <w:tblStyle w:val="30"/>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2131"/>
        <w:gridCol w:w="1134"/>
        <w:gridCol w:w="1279"/>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Align w:val="center"/>
          </w:tcPr>
          <w:p>
            <w:pPr>
              <w:spacing w:beforeLines="50" w:line="240" w:lineRule="exact"/>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学校及学院名称</w:t>
            </w:r>
          </w:p>
        </w:tc>
        <w:tc>
          <w:tcPr>
            <w:tcW w:w="6946" w:type="dxa"/>
            <w:gridSpan w:val="4"/>
          </w:tcPr>
          <w:p>
            <w:pPr>
              <w:spacing w:beforeLines="50" w:line="240" w:lineRule="exact"/>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浙江科技学院人文与国际教育学院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教学条件</w:t>
            </w:r>
          </w:p>
        </w:tc>
        <w:tc>
          <w:tcPr>
            <w:tcW w:w="2131" w:type="dxa"/>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专属资料室</w:t>
            </w:r>
          </w:p>
        </w:tc>
        <w:tc>
          <w:tcPr>
            <w:tcW w:w="4815" w:type="dxa"/>
            <w:gridSpan w:val="3"/>
            <w:vAlign w:val="center"/>
          </w:tcPr>
          <w:p>
            <w:pPr>
              <w:wordWrap w:val="0"/>
              <w:spacing w:beforeLines="50" w:line="300" w:lineRule="exact"/>
              <w:jc w:val="righ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 xml:space="preserve">1间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2131" w:type="dxa"/>
          </w:tcPr>
          <w:p>
            <w:pPr>
              <w:spacing w:beforeLines="50" w:line="30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多媒体及网络教室</w:t>
            </w:r>
          </w:p>
        </w:tc>
        <w:tc>
          <w:tcPr>
            <w:tcW w:w="4815" w:type="dxa"/>
            <w:gridSpan w:val="3"/>
            <w:vAlign w:val="center"/>
          </w:tcPr>
          <w:p>
            <w:pPr>
              <w:wordWrap w:val="0"/>
              <w:spacing w:beforeLines="50" w:line="300" w:lineRule="exact"/>
              <w:jc w:val="righ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 xml:space="preserve">21间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2131" w:type="dxa"/>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微格教室</w:t>
            </w:r>
          </w:p>
        </w:tc>
        <w:tc>
          <w:tcPr>
            <w:tcW w:w="4815" w:type="dxa"/>
            <w:gridSpan w:val="3"/>
            <w:vAlign w:val="center"/>
          </w:tcPr>
          <w:p>
            <w:pPr>
              <w:wordWrap w:val="0"/>
              <w:spacing w:beforeLines="50" w:line="300" w:lineRule="exact"/>
              <w:jc w:val="righ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 xml:space="preserve">6间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管理</w:t>
            </w:r>
          </w:p>
        </w:tc>
        <w:tc>
          <w:tcPr>
            <w:tcW w:w="2131" w:type="dxa"/>
            <w:vAlign w:val="center"/>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管理体制</w:t>
            </w:r>
          </w:p>
        </w:tc>
        <w:tc>
          <w:tcPr>
            <w:tcW w:w="4815" w:type="dxa"/>
            <w:gridSpan w:val="3"/>
            <w:vAlign w:val="center"/>
          </w:tcPr>
          <w:p>
            <w:pPr>
              <w:spacing w:line="300" w:lineRule="exact"/>
              <w:jc w:val="lef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 xml:space="preserve">B </w:t>
            </w:r>
            <w:r>
              <w:rPr>
                <w:rFonts w:hint="eastAsia" w:ascii="仿宋_GB2312" w:hAnsi="仿宋" w:eastAsia="仿宋_GB2312" w:cs="黑体"/>
                <w:bCs/>
                <w:color w:val="000000" w:themeColor="text1"/>
                <w:sz w:val="24"/>
                <w:szCs w:val="24"/>
              </w:rPr>
              <w:t>隶属于 人文与国际教育学院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2131" w:type="dxa"/>
            <w:vAlign w:val="center"/>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专职管理人员</w:t>
            </w:r>
          </w:p>
        </w:tc>
        <w:tc>
          <w:tcPr>
            <w:tcW w:w="4815" w:type="dxa"/>
            <w:gridSpan w:val="3"/>
            <w:vAlign w:val="center"/>
          </w:tcPr>
          <w:p>
            <w:pPr>
              <w:spacing w:line="300" w:lineRule="exac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 xml:space="preserve">         4名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教师</w:t>
            </w:r>
          </w:p>
          <w:p>
            <w:pPr>
              <w:spacing w:beforeLines="50" w:line="240" w:lineRule="exact"/>
              <w:jc w:val="center"/>
              <w:rPr>
                <w:rFonts w:ascii="仿宋_GB2312" w:hAnsi="仿宋" w:eastAsia="仿宋_GB2312" w:cs="黑体"/>
                <w:b/>
                <w:color w:val="000000" w:themeColor="text1"/>
                <w:sz w:val="24"/>
                <w:szCs w:val="24"/>
              </w:rPr>
            </w:pPr>
          </w:p>
        </w:tc>
        <w:tc>
          <w:tcPr>
            <w:tcW w:w="2131" w:type="dxa"/>
            <w:vAlign w:val="center"/>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教师总数</w:t>
            </w:r>
          </w:p>
        </w:tc>
        <w:tc>
          <w:tcPr>
            <w:tcW w:w="4815" w:type="dxa"/>
            <w:gridSpan w:val="3"/>
            <w:vAlign w:val="center"/>
          </w:tcPr>
          <w:p>
            <w:pPr>
              <w:spacing w:line="300" w:lineRule="exac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 xml:space="preserve">         52名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2131" w:type="dxa"/>
            <w:vAlign w:val="center"/>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国内专职教师</w:t>
            </w:r>
          </w:p>
        </w:tc>
        <w:tc>
          <w:tcPr>
            <w:tcW w:w="4815" w:type="dxa"/>
            <w:gridSpan w:val="3"/>
            <w:vAlign w:val="center"/>
          </w:tcPr>
          <w:p>
            <w:pPr>
              <w:spacing w:line="30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40人数：有国外学习或工作经历比例：70%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2131" w:type="dxa"/>
            <w:vAlign w:val="center"/>
          </w:tcPr>
          <w:p>
            <w:pPr>
              <w:spacing w:beforeLines="50" w:line="240" w:lineRule="exact"/>
              <w:ind w:right="-107" w:rightChars="-51"/>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国外教师</w:t>
            </w:r>
          </w:p>
        </w:tc>
        <w:tc>
          <w:tcPr>
            <w:tcW w:w="4815" w:type="dxa"/>
            <w:gridSpan w:val="3"/>
            <w:vAlign w:val="center"/>
          </w:tcPr>
          <w:p>
            <w:pPr>
              <w:spacing w:line="30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人数：12     课时数：165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p>
          <w:p>
            <w:pPr>
              <w:spacing w:beforeLines="50" w:line="240" w:lineRule="exact"/>
              <w:jc w:val="center"/>
              <w:rPr>
                <w:rFonts w:ascii="仿宋_GB2312" w:hAnsi="仿宋" w:eastAsia="仿宋_GB2312" w:cs="黑体"/>
                <w:b/>
                <w:color w:val="000000" w:themeColor="text1"/>
                <w:sz w:val="24"/>
                <w:szCs w:val="24"/>
              </w:rPr>
            </w:pPr>
          </w:p>
          <w:p>
            <w:pPr>
              <w:spacing w:beforeLines="50" w:line="240" w:lineRule="exact"/>
              <w:jc w:val="center"/>
              <w:rPr>
                <w:rFonts w:ascii="仿宋_GB2312" w:hAnsi="仿宋" w:eastAsia="仿宋_GB2312" w:cs="黑体"/>
                <w:b/>
                <w:color w:val="000000" w:themeColor="text1"/>
                <w:sz w:val="24"/>
                <w:szCs w:val="24"/>
              </w:rPr>
            </w:pPr>
          </w:p>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实习</w:t>
            </w: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作为汉语教师志愿者赴国外实习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43名，占学生总数百分比32.58%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以其他方式赴国外实习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26 名，占学生总数百分比19.70%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在国内高校教学实习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60名，占学生总数百分比45.51%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在国内中小学教学实习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1名，占学生总数百分比0.76.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p>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其他汉语教学机构实习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1 名，占学生总数百分比0.76.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非汉语教学机构实习</w:t>
            </w:r>
          </w:p>
        </w:tc>
        <w:tc>
          <w:tcPr>
            <w:tcW w:w="3681" w:type="dxa"/>
            <w:gridSpan w:val="2"/>
            <w:vAlign w:val="center"/>
          </w:tcPr>
          <w:p>
            <w:pPr>
              <w:spacing w:line="300" w:lineRule="exact"/>
              <w:jc w:val="center"/>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2 名，占学生总数百分比1.5%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学位论文</w:t>
            </w: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选题紧密结合国际汉语教育实践</w:t>
            </w:r>
          </w:p>
        </w:tc>
        <w:tc>
          <w:tcPr>
            <w:tcW w:w="3681" w:type="dxa"/>
            <w:gridSpan w:val="2"/>
            <w:vAlign w:val="center"/>
          </w:tcPr>
          <w:p>
            <w:pPr>
              <w:spacing w:line="300" w:lineRule="exact"/>
              <w:ind w:firstLine="117" w:firstLineChars="49"/>
              <w:jc w:val="lef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35篇，占总篇数百分比100%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rPr>
                <w:rFonts w:ascii="仿宋_GB2312" w:hAnsi="仿宋" w:eastAsia="仿宋_GB2312" w:cs="黑体"/>
                <w:b/>
                <w:color w:val="000000" w:themeColor="text1"/>
                <w:sz w:val="24"/>
                <w:szCs w:val="24"/>
              </w:rPr>
            </w:pP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论文形式为纯语言文化本体类的专题研究</w:t>
            </w:r>
          </w:p>
        </w:tc>
        <w:tc>
          <w:tcPr>
            <w:tcW w:w="3681" w:type="dxa"/>
            <w:gridSpan w:val="2"/>
            <w:vAlign w:val="center"/>
          </w:tcPr>
          <w:p>
            <w:pPr>
              <w:spacing w:line="300" w:lineRule="exact"/>
              <w:ind w:firstLine="117" w:firstLineChars="49"/>
              <w:jc w:val="lef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0篇，占总篇数百分比0%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教学活动</w:t>
            </w:r>
          </w:p>
        </w:tc>
        <w:tc>
          <w:tcPr>
            <w:tcW w:w="4544" w:type="dxa"/>
            <w:gridSpan w:val="3"/>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课堂教学见习（课堂观察、录像观摩、试讲）</w:t>
            </w:r>
          </w:p>
        </w:tc>
        <w:tc>
          <w:tcPr>
            <w:tcW w:w="2402" w:type="dxa"/>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520 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4544" w:type="dxa"/>
            <w:gridSpan w:val="3"/>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国内外专家讲座</w:t>
            </w:r>
          </w:p>
        </w:tc>
        <w:tc>
          <w:tcPr>
            <w:tcW w:w="2402" w:type="dxa"/>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165课时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4544" w:type="dxa"/>
            <w:gridSpan w:val="3"/>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举办或参加文化演示、比赛文化交流活动</w:t>
            </w:r>
          </w:p>
        </w:tc>
        <w:tc>
          <w:tcPr>
            <w:tcW w:w="2402" w:type="dxa"/>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10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4544" w:type="dxa"/>
            <w:gridSpan w:val="3"/>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组织学生参加语言文化传播活动</w:t>
            </w:r>
          </w:p>
        </w:tc>
        <w:tc>
          <w:tcPr>
            <w:tcW w:w="2402" w:type="dxa"/>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13 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实习基地</w:t>
            </w: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国外实习基地（含孔子学院和独立的孔子课堂）</w:t>
            </w:r>
          </w:p>
        </w:tc>
        <w:tc>
          <w:tcPr>
            <w:tcW w:w="3681" w:type="dxa"/>
            <w:gridSpan w:val="2"/>
            <w:vAlign w:val="center"/>
          </w:tcPr>
          <w:p>
            <w:pPr>
              <w:spacing w:beforeLines="50" w:line="240" w:lineRule="exact"/>
              <w:jc w:val="right"/>
              <w:rPr>
                <w:rFonts w:ascii="仿宋_GB2312" w:hAnsi="仿宋" w:eastAsia="仿宋_GB2312" w:cs="黑体"/>
                <w:bCs/>
                <w:color w:val="000000" w:themeColor="text1"/>
                <w:sz w:val="24"/>
                <w:szCs w:val="24"/>
              </w:rPr>
            </w:pPr>
            <w:r>
              <w:rPr>
                <w:rFonts w:hint="eastAsia" w:ascii="仿宋" w:hAnsi="仿宋" w:eastAsia="仿宋"/>
                <w:bCs/>
                <w:color w:val="000000" w:themeColor="text1"/>
                <w:sz w:val="24"/>
                <w:szCs w:val="24"/>
              </w:rPr>
              <w:t>4 个</w:t>
            </w:r>
            <w:r>
              <w:rPr>
                <w:rFonts w:ascii="仿宋" w:hAnsi="仿宋" w:eastAsia="仿宋"/>
                <w:bCs/>
                <w:color w:val="000000" w:themeColor="text1"/>
                <w:sz w:val="24"/>
                <w:szCs w:val="24"/>
              </w:rPr>
              <w:t xml:space="preserve">                                </w:t>
            </w:r>
            <w:r>
              <w:rPr>
                <w:rFonts w:hint="eastAsia" w:ascii="仿宋" w:hAnsi="仿宋" w:eastAsia="仿宋"/>
                <w:bCs/>
                <w:color w:val="000000" w:themeColor="text1"/>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国家名称</w:t>
            </w:r>
          </w:p>
        </w:tc>
        <w:tc>
          <w:tcPr>
            <w:tcW w:w="3681" w:type="dxa"/>
            <w:gridSpan w:val="2"/>
            <w:vAlign w:val="center"/>
          </w:tcPr>
          <w:p>
            <w:pPr>
              <w:spacing w:beforeLines="50" w:line="240" w:lineRule="exact"/>
              <w:jc w:val="right"/>
              <w:rPr>
                <w:rFonts w:ascii="仿宋_GB2312" w:hAnsi="仿宋" w:eastAsia="仿宋_GB2312" w:cs="黑体"/>
                <w:bCs/>
                <w:color w:val="000000" w:themeColor="text1"/>
                <w:sz w:val="24"/>
                <w:szCs w:val="24"/>
              </w:rPr>
            </w:pPr>
            <w:r>
              <w:rPr>
                <w:rFonts w:hint="eastAsia" w:ascii="仿宋" w:hAnsi="仿宋" w:eastAsia="仿宋"/>
                <w:bCs/>
                <w:color w:val="000000" w:themeColor="text1"/>
                <w:sz w:val="24"/>
                <w:szCs w:val="24"/>
              </w:rPr>
              <w:t>罗马尼亚、德国、泰国、印度尼西亚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国内中小学实习基地数（须有外国学生的中小学）</w:t>
            </w:r>
          </w:p>
        </w:tc>
        <w:tc>
          <w:tcPr>
            <w:tcW w:w="3681" w:type="dxa"/>
            <w:gridSpan w:val="2"/>
            <w:vAlign w:val="center"/>
          </w:tcPr>
          <w:p>
            <w:pPr>
              <w:spacing w:beforeLines="50" w:line="240" w:lineRule="exact"/>
              <w:jc w:val="right"/>
              <w:rPr>
                <w:rFonts w:ascii="仿宋_GB2312" w:hAnsi="仿宋" w:eastAsia="仿宋_GB2312" w:cs="黑体"/>
                <w:bCs/>
                <w:color w:val="000000" w:themeColor="text1"/>
                <w:sz w:val="24"/>
                <w:szCs w:val="24"/>
              </w:rPr>
            </w:pPr>
            <w:r>
              <w:rPr>
                <w:rFonts w:ascii="仿宋" w:hAnsi="仿宋" w:eastAsia="仿宋"/>
                <w:bCs/>
                <w:color w:val="000000" w:themeColor="text1"/>
                <w:sz w:val="24"/>
                <w:szCs w:val="24"/>
              </w:rPr>
              <w:t xml:space="preserve">                   </w:t>
            </w:r>
            <w:r>
              <w:rPr>
                <w:rFonts w:hint="eastAsia" w:ascii="仿宋" w:hAnsi="仿宋" w:eastAsia="仿宋"/>
                <w:bCs/>
                <w:color w:val="000000" w:themeColor="text1"/>
                <w:sz w:val="24"/>
                <w:szCs w:val="24"/>
              </w:rPr>
              <w:t xml:space="preserve"> 2</w:t>
            </w:r>
            <w:r>
              <w:rPr>
                <w:rFonts w:ascii="仿宋" w:hAnsi="仿宋" w:eastAsia="仿宋"/>
                <w:bCs/>
                <w:color w:val="000000" w:themeColor="text1"/>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30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其他机构</w:t>
            </w:r>
          </w:p>
        </w:tc>
        <w:tc>
          <w:tcPr>
            <w:tcW w:w="3681" w:type="dxa"/>
            <w:gridSpan w:val="2"/>
            <w:vAlign w:val="center"/>
          </w:tcPr>
          <w:p>
            <w:pPr>
              <w:spacing w:beforeLines="50" w:line="240" w:lineRule="exact"/>
              <w:jc w:val="right"/>
              <w:rPr>
                <w:rFonts w:ascii="仿宋" w:hAnsi="仿宋" w:eastAsia="仿宋"/>
                <w:bCs/>
                <w:color w:val="000000" w:themeColor="text1"/>
                <w:sz w:val="24"/>
                <w:szCs w:val="24"/>
              </w:rPr>
            </w:pPr>
            <w:r>
              <w:rPr>
                <w:rFonts w:hint="eastAsia" w:ascii="仿宋" w:hAnsi="仿宋" w:eastAsia="仿宋"/>
                <w:bCs/>
                <w:color w:val="000000" w:themeColor="text1"/>
                <w:sz w:val="24"/>
                <w:szCs w:val="24"/>
              </w:rPr>
              <w:t xml:space="preserve">             4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获奖情况</w:t>
            </w: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学科及教师获奖情况</w:t>
            </w:r>
          </w:p>
        </w:tc>
        <w:tc>
          <w:tcPr>
            <w:tcW w:w="3681" w:type="dxa"/>
            <w:gridSpan w:val="2"/>
            <w:vAlign w:val="center"/>
          </w:tcPr>
          <w:p>
            <w:pPr>
              <w:spacing w:beforeLines="50" w:line="240" w:lineRule="exact"/>
              <w:jc w:val="righ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18人次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学生获奖情况</w:t>
            </w:r>
          </w:p>
        </w:tc>
        <w:tc>
          <w:tcPr>
            <w:tcW w:w="3681" w:type="dxa"/>
            <w:gridSpan w:val="2"/>
            <w:vAlign w:val="center"/>
          </w:tcPr>
          <w:p>
            <w:pPr>
              <w:spacing w:beforeLines="50" w:line="240" w:lineRule="exact"/>
              <w:jc w:val="righ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 28人次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restart"/>
            <w:vAlign w:val="center"/>
          </w:tcPr>
          <w:p>
            <w:pPr>
              <w:spacing w:beforeLines="50" w:line="240" w:lineRule="exact"/>
              <w:jc w:val="center"/>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学生就业情况</w:t>
            </w: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中国学生就业情况</w:t>
            </w:r>
          </w:p>
        </w:tc>
        <w:tc>
          <w:tcPr>
            <w:tcW w:w="3681" w:type="dxa"/>
            <w:gridSpan w:val="2"/>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毕业人数33就业人数32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中国学生从事相关行业情况</w:t>
            </w:r>
          </w:p>
        </w:tc>
        <w:tc>
          <w:tcPr>
            <w:tcW w:w="3681" w:type="dxa"/>
            <w:gridSpan w:val="2"/>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就业率 97%  相关行业率67%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留学生就业情况</w:t>
            </w:r>
          </w:p>
        </w:tc>
        <w:tc>
          <w:tcPr>
            <w:tcW w:w="3681" w:type="dxa"/>
            <w:gridSpan w:val="2"/>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毕业人数 2就业人数2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4"/>
                <w:szCs w:val="24"/>
              </w:rPr>
            </w:pPr>
          </w:p>
        </w:tc>
        <w:tc>
          <w:tcPr>
            <w:tcW w:w="3265"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
                <w:color w:val="000000" w:themeColor="text1"/>
                <w:sz w:val="24"/>
                <w:szCs w:val="24"/>
              </w:rPr>
              <w:t>留学生从事相关行业情况</w:t>
            </w:r>
          </w:p>
        </w:tc>
        <w:tc>
          <w:tcPr>
            <w:tcW w:w="3681" w:type="dxa"/>
            <w:gridSpan w:val="2"/>
            <w:vAlign w:val="center"/>
          </w:tcPr>
          <w:p>
            <w:pPr>
              <w:spacing w:beforeLines="50" w:line="240" w:lineRule="exact"/>
              <w:rPr>
                <w:rFonts w:ascii="仿宋_GB2312" w:hAnsi="仿宋" w:eastAsia="仿宋_GB2312" w:cs="黑体"/>
                <w:bCs/>
                <w:color w:val="000000" w:themeColor="text1"/>
                <w:sz w:val="24"/>
                <w:szCs w:val="24"/>
              </w:rPr>
            </w:pPr>
            <w:r>
              <w:rPr>
                <w:rFonts w:hint="eastAsia" w:ascii="仿宋_GB2312" w:hAnsi="仿宋" w:eastAsia="仿宋_GB2312" w:cs="黑体"/>
                <w:bCs/>
                <w:color w:val="000000" w:themeColor="text1"/>
                <w:sz w:val="24"/>
                <w:szCs w:val="24"/>
              </w:rPr>
              <w:t xml:space="preserve">就业率 100% 相关行业率0%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2552" w:type="dxa"/>
            <w:vMerge w:val="continue"/>
            <w:vAlign w:val="center"/>
          </w:tcPr>
          <w:p>
            <w:pPr>
              <w:spacing w:beforeLines="50" w:line="240" w:lineRule="exact"/>
              <w:jc w:val="center"/>
              <w:rPr>
                <w:rFonts w:ascii="仿宋_GB2312" w:hAnsi="仿宋" w:eastAsia="仿宋_GB2312" w:cs="黑体"/>
                <w:b/>
                <w:color w:val="000000" w:themeColor="text1"/>
                <w:sz w:val="28"/>
                <w:szCs w:val="28"/>
              </w:rPr>
            </w:pPr>
          </w:p>
        </w:tc>
        <w:tc>
          <w:tcPr>
            <w:tcW w:w="3265" w:type="dxa"/>
            <w:gridSpan w:val="2"/>
            <w:vAlign w:val="center"/>
          </w:tcPr>
          <w:p>
            <w:pPr>
              <w:spacing w:beforeLines="50" w:line="240" w:lineRule="exact"/>
              <w:rPr>
                <w:rFonts w:ascii="仿宋_GB2312" w:hAnsi="仿宋" w:eastAsia="仿宋_GB2312" w:cs="黑体"/>
                <w:b/>
                <w:color w:val="000000" w:themeColor="text1"/>
                <w:sz w:val="28"/>
                <w:szCs w:val="28"/>
              </w:rPr>
            </w:pPr>
            <w:r>
              <w:rPr>
                <w:rFonts w:hint="eastAsia" w:ascii="仿宋_GB2312" w:hAnsi="仿宋" w:eastAsia="仿宋_GB2312" w:cs="黑体"/>
                <w:b/>
                <w:color w:val="000000" w:themeColor="text1"/>
                <w:sz w:val="24"/>
                <w:szCs w:val="24"/>
              </w:rPr>
              <w:t>中国学生赴国外就业情况</w:t>
            </w:r>
          </w:p>
        </w:tc>
        <w:tc>
          <w:tcPr>
            <w:tcW w:w="3681" w:type="dxa"/>
            <w:gridSpan w:val="2"/>
            <w:vAlign w:val="center"/>
          </w:tcPr>
          <w:p>
            <w:pPr>
              <w:spacing w:beforeLines="50" w:line="240" w:lineRule="exact"/>
              <w:rPr>
                <w:rFonts w:ascii="仿宋_GB2312" w:hAnsi="仿宋" w:eastAsia="仿宋_GB2312" w:cs="黑体"/>
                <w:b/>
                <w:color w:val="000000" w:themeColor="text1"/>
                <w:sz w:val="24"/>
                <w:szCs w:val="24"/>
              </w:rPr>
            </w:pPr>
            <w:r>
              <w:rPr>
                <w:rFonts w:hint="eastAsia" w:ascii="仿宋_GB2312" w:hAnsi="仿宋" w:eastAsia="仿宋_GB2312" w:cs="黑体"/>
                <w:bCs/>
                <w:color w:val="000000" w:themeColor="text1"/>
                <w:sz w:val="24"/>
                <w:szCs w:val="24"/>
              </w:rPr>
              <w:t>占毕业生总数比例 12.12%</w:t>
            </w:r>
          </w:p>
        </w:tc>
      </w:tr>
    </w:tbl>
    <w:p>
      <w:pPr>
        <w:spacing w:line="360" w:lineRule="auto"/>
        <w:rPr>
          <w:rFonts w:ascii="仿宋_GB2312" w:hAnsi="Calibri" w:eastAsia="仿宋_GB2312" w:cs="黑体"/>
          <w:color w:val="000000" w:themeColor="text1"/>
          <w:sz w:val="32"/>
          <w:szCs w:val="32"/>
        </w:rPr>
        <w:sectPr>
          <w:footerReference r:id="rId4" w:type="first"/>
          <w:headerReference r:id="rId3" w:type="default"/>
          <w:pgSz w:w="11909" w:h="16834"/>
          <w:pgMar w:top="1440" w:right="1797" w:bottom="1440" w:left="1797" w:header="397" w:footer="907" w:gutter="0"/>
          <w:pgNumType w:start="1"/>
          <w:cols w:space="425" w:num="1"/>
          <w:titlePg/>
          <w:docGrid w:linePitch="312" w:charSpace="0"/>
        </w:sectPr>
      </w:pPr>
    </w:p>
    <w:tbl>
      <w:tblPr>
        <w:tblStyle w:val="30"/>
        <w:tblpPr w:leftFromText="180" w:rightFromText="180" w:vertAnchor="page" w:horzAnchor="margin" w:tblpY="2551"/>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751"/>
        <w:gridCol w:w="735"/>
        <w:gridCol w:w="750"/>
        <w:gridCol w:w="1024"/>
        <w:gridCol w:w="1134"/>
        <w:gridCol w:w="993"/>
        <w:gridCol w:w="992"/>
        <w:gridCol w:w="1276"/>
        <w:gridCol w:w="1275"/>
        <w:gridCol w:w="1276"/>
        <w:gridCol w:w="1031"/>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34" w:type="dxa"/>
            <w:vMerge w:val="restart"/>
            <w:vAlign w:val="center"/>
          </w:tcPr>
          <w:p>
            <w:pPr>
              <w:jc w:val="center"/>
              <w:rPr>
                <w:rFonts w:ascii="仿宋_GB2312" w:hAnsi="Calibri" w:eastAsia="仿宋_GB2312" w:cs="黑体"/>
                <w:color w:val="000000" w:themeColor="text1"/>
                <w:sz w:val="32"/>
                <w:szCs w:val="32"/>
              </w:rPr>
            </w:pPr>
          </w:p>
        </w:tc>
        <w:tc>
          <w:tcPr>
            <w:tcW w:w="850" w:type="dxa"/>
            <w:vMerge w:val="restart"/>
            <w:vAlign w:val="center"/>
          </w:tcPr>
          <w:p>
            <w:pPr>
              <w:ind w:left="-105" w:leftChars="-50" w:right="-136" w:rightChars="-65"/>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类别</w:t>
            </w:r>
          </w:p>
        </w:tc>
        <w:tc>
          <w:tcPr>
            <w:tcW w:w="751" w:type="dxa"/>
            <w:vMerge w:val="restart"/>
            <w:vAlign w:val="center"/>
          </w:tcPr>
          <w:p>
            <w:pPr>
              <w:ind w:left="-107" w:leftChars="-51" w:right="-107" w:rightChars="-51"/>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人数</w:t>
            </w:r>
          </w:p>
        </w:tc>
        <w:tc>
          <w:tcPr>
            <w:tcW w:w="1485" w:type="dxa"/>
            <w:gridSpan w:val="2"/>
            <w:vAlign w:val="center"/>
          </w:tcPr>
          <w:p>
            <w:pPr>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性别</w:t>
            </w:r>
          </w:p>
        </w:tc>
        <w:tc>
          <w:tcPr>
            <w:tcW w:w="2158" w:type="dxa"/>
            <w:gridSpan w:val="2"/>
            <w:vAlign w:val="center"/>
          </w:tcPr>
          <w:p>
            <w:pPr>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地区分布</w:t>
            </w:r>
          </w:p>
        </w:tc>
        <w:tc>
          <w:tcPr>
            <w:tcW w:w="5812" w:type="dxa"/>
            <w:gridSpan w:val="5"/>
            <w:vAlign w:val="center"/>
          </w:tcPr>
          <w:p>
            <w:pPr>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国内外就业情况</w:t>
            </w:r>
          </w:p>
        </w:tc>
        <w:tc>
          <w:tcPr>
            <w:tcW w:w="1985" w:type="dxa"/>
            <w:gridSpan w:val="2"/>
            <w:vAlign w:val="center"/>
          </w:tcPr>
          <w:p>
            <w:pPr>
              <w:ind w:left="-107" w:leftChars="-51" w:right="-107" w:rightChars="-51"/>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国外实习情况</w:t>
            </w:r>
          </w:p>
          <w:p>
            <w:pPr>
              <w:jc w:val="center"/>
              <w:rPr>
                <w:rFonts w:ascii="仿宋_GB2312" w:hAnsi="Calibri" w:eastAsia="仿宋_GB2312" w:cs="黑体"/>
                <w:b/>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534" w:type="dxa"/>
            <w:vMerge w:val="continue"/>
            <w:vAlign w:val="center"/>
          </w:tcPr>
          <w:p>
            <w:pPr>
              <w:jc w:val="center"/>
              <w:rPr>
                <w:rFonts w:ascii="仿宋_GB2312" w:hAnsi="Calibri" w:eastAsia="仿宋_GB2312" w:cs="黑体"/>
                <w:color w:val="000000" w:themeColor="text1"/>
                <w:sz w:val="32"/>
                <w:szCs w:val="32"/>
              </w:rPr>
            </w:pPr>
          </w:p>
        </w:tc>
        <w:tc>
          <w:tcPr>
            <w:tcW w:w="850" w:type="dxa"/>
            <w:vMerge w:val="continue"/>
            <w:vAlign w:val="center"/>
          </w:tcPr>
          <w:p>
            <w:pPr>
              <w:ind w:left="-105" w:leftChars="-50" w:right="-136" w:rightChars="-65"/>
              <w:jc w:val="center"/>
              <w:rPr>
                <w:rFonts w:ascii="仿宋_GB2312" w:hAnsi="Calibri" w:eastAsia="仿宋_GB2312" w:cs="黑体"/>
                <w:color w:val="000000" w:themeColor="text1"/>
                <w:sz w:val="32"/>
                <w:szCs w:val="32"/>
              </w:rPr>
            </w:pPr>
          </w:p>
        </w:tc>
        <w:tc>
          <w:tcPr>
            <w:tcW w:w="751" w:type="dxa"/>
            <w:vMerge w:val="continue"/>
            <w:vAlign w:val="center"/>
          </w:tcPr>
          <w:p>
            <w:pPr>
              <w:jc w:val="center"/>
              <w:rPr>
                <w:rFonts w:ascii="仿宋_GB2312" w:hAnsi="Calibri" w:eastAsia="仿宋_GB2312" w:cs="黑体"/>
                <w:color w:val="000000" w:themeColor="text1"/>
                <w:sz w:val="32"/>
                <w:szCs w:val="32"/>
              </w:rPr>
            </w:pPr>
          </w:p>
        </w:tc>
        <w:tc>
          <w:tcPr>
            <w:tcW w:w="73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男</w:t>
            </w:r>
          </w:p>
        </w:tc>
        <w:tc>
          <w:tcPr>
            <w:tcW w:w="750"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女</w:t>
            </w:r>
          </w:p>
        </w:tc>
        <w:tc>
          <w:tcPr>
            <w:tcW w:w="1024" w:type="dxa"/>
            <w:vAlign w:val="center"/>
          </w:tcPr>
          <w:p>
            <w:pPr>
              <w:ind w:left="-107" w:leftChars="-51" w:right="-107" w:rightChars="-51"/>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洲别</w:t>
            </w:r>
          </w:p>
        </w:tc>
        <w:tc>
          <w:tcPr>
            <w:tcW w:w="1134" w:type="dxa"/>
            <w:vAlign w:val="center"/>
          </w:tcPr>
          <w:p>
            <w:pPr>
              <w:ind w:left="-107" w:leftChars="-51" w:right="-107" w:rightChars="-51"/>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国别</w:t>
            </w:r>
          </w:p>
        </w:tc>
        <w:tc>
          <w:tcPr>
            <w:tcW w:w="993" w:type="dxa"/>
            <w:vAlign w:val="center"/>
          </w:tcPr>
          <w:p>
            <w:pPr>
              <w:ind w:left="-187" w:leftChars="-89" w:right="-164" w:rightChars="-78"/>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中小学</w:t>
            </w:r>
          </w:p>
        </w:tc>
        <w:tc>
          <w:tcPr>
            <w:tcW w:w="992" w:type="dxa"/>
            <w:vAlign w:val="center"/>
          </w:tcPr>
          <w:p>
            <w:pPr>
              <w:ind w:left="-187" w:leftChars="-89" w:right="-164" w:rightChars="-78"/>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大学</w:t>
            </w:r>
          </w:p>
        </w:tc>
        <w:tc>
          <w:tcPr>
            <w:tcW w:w="1276" w:type="dxa"/>
            <w:vAlign w:val="center"/>
          </w:tcPr>
          <w:p>
            <w:pPr>
              <w:ind w:left="-187" w:leftChars="-89" w:right="-164" w:rightChars="-78"/>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企事业</w:t>
            </w:r>
          </w:p>
        </w:tc>
        <w:tc>
          <w:tcPr>
            <w:tcW w:w="1275" w:type="dxa"/>
            <w:vAlign w:val="center"/>
          </w:tcPr>
          <w:p>
            <w:pPr>
              <w:ind w:left="-187" w:leftChars="-89" w:right="-164" w:rightChars="-78"/>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公务员</w:t>
            </w:r>
          </w:p>
        </w:tc>
        <w:tc>
          <w:tcPr>
            <w:tcW w:w="1276" w:type="dxa"/>
            <w:vAlign w:val="center"/>
          </w:tcPr>
          <w:p>
            <w:pPr>
              <w:ind w:left="-107" w:leftChars="-51" w:right="-107" w:rightChars="-51"/>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其他</w:t>
            </w:r>
          </w:p>
        </w:tc>
        <w:tc>
          <w:tcPr>
            <w:tcW w:w="1031"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国别</w:t>
            </w:r>
          </w:p>
        </w:tc>
        <w:tc>
          <w:tcPr>
            <w:tcW w:w="95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34" w:type="dxa"/>
            <w:vMerge w:val="continue"/>
            <w:vAlign w:val="center"/>
          </w:tcPr>
          <w:p>
            <w:pPr>
              <w:jc w:val="center"/>
              <w:rPr>
                <w:rFonts w:ascii="仿宋_GB2312" w:hAnsi="Calibri" w:eastAsia="仿宋_GB2312" w:cs="黑体"/>
                <w:color w:val="000000" w:themeColor="text1"/>
                <w:sz w:val="32"/>
                <w:szCs w:val="32"/>
              </w:rPr>
            </w:pPr>
          </w:p>
        </w:tc>
        <w:tc>
          <w:tcPr>
            <w:tcW w:w="850" w:type="dxa"/>
            <w:vAlign w:val="center"/>
          </w:tcPr>
          <w:p>
            <w:pPr>
              <w:ind w:left="-105" w:leftChars="-50" w:right="-136" w:rightChars="-65"/>
              <w:jc w:val="left"/>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中国</w:t>
            </w:r>
          </w:p>
          <w:p>
            <w:pPr>
              <w:ind w:left="-105" w:leftChars="-50" w:right="-136" w:rightChars="-65"/>
              <w:jc w:val="left"/>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学生</w:t>
            </w:r>
          </w:p>
        </w:tc>
        <w:tc>
          <w:tcPr>
            <w:tcW w:w="751"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132</w:t>
            </w:r>
          </w:p>
        </w:tc>
        <w:tc>
          <w:tcPr>
            <w:tcW w:w="73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27</w:t>
            </w:r>
          </w:p>
        </w:tc>
        <w:tc>
          <w:tcPr>
            <w:tcW w:w="750"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105</w:t>
            </w:r>
          </w:p>
        </w:tc>
        <w:tc>
          <w:tcPr>
            <w:tcW w:w="102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w:t>
            </w:r>
          </w:p>
        </w:tc>
        <w:tc>
          <w:tcPr>
            <w:tcW w:w="113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w:t>
            </w:r>
          </w:p>
        </w:tc>
        <w:tc>
          <w:tcPr>
            <w:tcW w:w="993"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13</w:t>
            </w:r>
          </w:p>
        </w:tc>
        <w:tc>
          <w:tcPr>
            <w:tcW w:w="992"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4</w:t>
            </w:r>
          </w:p>
        </w:tc>
        <w:tc>
          <w:tcPr>
            <w:tcW w:w="1276"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4</w:t>
            </w:r>
          </w:p>
        </w:tc>
        <w:tc>
          <w:tcPr>
            <w:tcW w:w="1275" w:type="dxa"/>
            <w:vAlign w:val="center"/>
          </w:tcPr>
          <w:p>
            <w:pPr>
              <w:jc w:val="center"/>
              <w:rPr>
                <w:rFonts w:ascii="仿宋_GB2312" w:hAnsi="Calibri" w:eastAsia="仿宋_GB2312" w:cs="黑体"/>
                <w:color w:val="000000" w:themeColor="text1"/>
                <w:sz w:val="32"/>
                <w:szCs w:val="32"/>
              </w:rPr>
            </w:pPr>
          </w:p>
        </w:tc>
        <w:tc>
          <w:tcPr>
            <w:tcW w:w="1276"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w:t>
            </w:r>
          </w:p>
        </w:tc>
        <w:tc>
          <w:tcPr>
            <w:tcW w:w="1031" w:type="dxa"/>
            <w:vAlign w:val="center"/>
          </w:tcPr>
          <w:p>
            <w:pPr>
              <w:rPr>
                <w:rFonts w:ascii="仿宋_GB2312" w:hAnsi="Calibri" w:eastAsia="仿宋_GB2312" w:cs="黑体"/>
                <w:color w:val="000000" w:themeColor="text1"/>
                <w:szCs w:val="21"/>
              </w:rPr>
            </w:pPr>
            <w:r>
              <w:rPr>
                <w:rFonts w:hint="eastAsia" w:ascii="仿宋_GB2312" w:hAnsi="Calibri" w:eastAsia="仿宋_GB2312" w:cs="黑体"/>
                <w:color w:val="000000" w:themeColor="text1"/>
                <w:sz w:val="24"/>
                <w:szCs w:val="24"/>
              </w:rPr>
              <w:t>罗马尼亚、泰国、印度尼西亚</w:t>
            </w:r>
          </w:p>
          <w:p>
            <w:pPr>
              <w:rPr>
                <w:rFonts w:ascii="仿宋_GB2312" w:hAnsi="Calibri" w:eastAsia="仿宋_GB2312" w:cs="黑体"/>
                <w:color w:val="000000" w:themeColor="text1"/>
                <w:sz w:val="32"/>
                <w:szCs w:val="32"/>
              </w:rPr>
            </w:pPr>
          </w:p>
        </w:tc>
        <w:tc>
          <w:tcPr>
            <w:tcW w:w="95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34" w:type="dxa"/>
            <w:vMerge w:val="continue"/>
            <w:vAlign w:val="center"/>
          </w:tcPr>
          <w:p>
            <w:pPr>
              <w:jc w:val="center"/>
              <w:rPr>
                <w:rFonts w:ascii="仿宋_GB2312" w:hAnsi="Calibri" w:eastAsia="仿宋_GB2312" w:cs="黑体"/>
                <w:color w:val="000000" w:themeColor="text1"/>
                <w:sz w:val="32"/>
                <w:szCs w:val="32"/>
              </w:rPr>
            </w:pPr>
          </w:p>
        </w:tc>
        <w:tc>
          <w:tcPr>
            <w:tcW w:w="850" w:type="dxa"/>
            <w:vAlign w:val="center"/>
          </w:tcPr>
          <w:p>
            <w:pPr>
              <w:ind w:right="-136" w:rightChars="-65"/>
              <w:jc w:val="left"/>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留学生</w:t>
            </w:r>
          </w:p>
        </w:tc>
        <w:tc>
          <w:tcPr>
            <w:tcW w:w="751"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18</w:t>
            </w:r>
          </w:p>
        </w:tc>
        <w:tc>
          <w:tcPr>
            <w:tcW w:w="73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w:t>
            </w:r>
          </w:p>
        </w:tc>
        <w:tc>
          <w:tcPr>
            <w:tcW w:w="750"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16</w:t>
            </w:r>
          </w:p>
        </w:tc>
        <w:tc>
          <w:tcPr>
            <w:tcW w:w="102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4</w:t>
            </w:r>
          </w:p>
        </w:tc>
        <w:tc>
          <w:tcPr>
            <w:tcW w:w="1134"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10</w:t>
            </w:r>
          </w:p>
        </w:tc>
        <w:tc>
          <w:tcPr>
            <w:tcW w:w="993" w:type="dxa"/>
            <w:vAlign w:val="center"/>
          </w:tcPr>
          <w:p>
            <w:pPr>
              <w:jc w:val="center"/>
              <w:rPr>
                <w:rFonts w:ascii="仿宋_GB2312" w:hAnsi="Calibri" w:eastAsia="仿宋_GB2312" w:cs="黑体"/>
                <w:color w:val="000000" w:themeColor="text1"/>
                <w:sz w:val="32"/>
                <w:szCs w:val="32"/>
              </w:rPr>
            </w:pPr>
          </w:p>
        </w:tc>
        <w:tc>
          <w:tcPr>
            <w:tcW w:w="992" w:type="dxa"/>
            <w:vAlign w:val="center"/>
          </w:tcPr>
          <w:p>
            <w:pPr>
              <w:jc w:val="center"/>
              <w:rPr>
                <w:rFonts w:ascii="仿宋_GB2312" w:hAnsi="Calibri" w:eastAsia="仿宋_GB2312" w:cs="黑体"/>
                <w:color w:val="000000" w:themeColor="text1"/>
                <w:sz w:val="32"/>
                <w:szCs w:val="32"/>
              </w:rPr>
            </w:pPr>
          </w:p>
        </w:tc>
        <w:tc>
          <w:tcPr>
            <w:tcW w:w="1276" w:type="dxa"/>
            <w:vAlign w:val="center"/>
          </w:tcPr>
          <w:p>
            <w:pPr>
              <w:jc w:val="center"/>
              <w:rPr>
                <w:rFonts w:ascii="仿宋_GB2312" w:hAnsi="Calibri" w:eastAsia="仿宋_GB2312" w:cs="黑体"/>
                <w:color w:val="000000" w:themeColor="text1"/>
                <w:sz w:val="32"/>
                <w:szCs w:val="32"/>
              </w:rPr>
            </w:pPr>
          </w:p>
        </w:tc>
        <w:tc>
          <w:tcPr>
            <w:tcW w:w="1275" w:type="dxa"/>
            <w:vAlign w:val="center"/>
          </w:tcPr>
          <w:p>
            <w:pPr>
              <w:jc w:val="center"/>
              <w:rPr>
                <w:rFonts w:ascii="仿宋_GB2312" w:hAnsi="Calibri" w:eastAsia="仿宋_GB2312" w:cs="黑体"/>
                <w:color w:val="000000" w:themeColor="text1"/>
                <w:sz w:val="32"/>
                <w:szCs w:val="32"/>
              </w:rPr>
            </w:pPr>
          </w:p>
        </w:tc>
        <w:tc>
          <w:tcPr>
            <w:tcW w:w="1276"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w:t>
            </w:r>
          </w:p>
        </w:tc>
        <w:tc>
          <w:tcPr>
            <w:tcW w:w="1031" w:type="dxa"/>
            <w:vAlign w:val="center"/>
          </w:tcPr>
          <w:p>
            <w:pPr>
              <w:jc w:val="center"/>
              <w:rPr>
                <w:rFonts w:ascii="仿宋_GB2312" w:hAnsi="Calibri" w:eastAsia="仿宋_GB2312" w:cs="黑体"/>
                <w:color w:val="000000" w:themeColor="text1"/>
                <w:sz w:val="32"/>
                <w:szCs w:val="32"/>
              </w:rPr>
            </w:pPr>
          </w:p>
        </w:tc>
        <w:tc>
          <w:tcPr>
            <w:tcW w:w="954" w:type="dxa"/>
            <w:vAlign w:val="center"/>
          </w:tcPr>
          <w:p>
            <w:pPr>
              <w:jc w:val="center"/>
              <w:rPr>
                <w:rFonts w:ascii="仿宋_GB2312" w:hAnsi="Calibri" w:eastAsia="仿宋_GB2312" w:cs="黑体"/>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6" w:hRule="atLeast"/>
        </w:trPr>
        <w:tc>
          <w:tcPr>
            <w:tcW w:w="1384" w:type="dxa"/>
            <w:gridSpan w:val="2"/>
            <w:vMerge w:val="restart"/>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招收学生基本情况</w:t>
            </w:r>
          </w:p>
        </w:tc>
        <w:tc>
          <w:tcPr>
            <w:tcW w:w="2236" w:type="dxa"/>
            <w:gridSpan w:val="3"/>
            <w:vAlign w:val="center"/>
          </w:tcPr>
          <w:p>
            <w:pPr>
              <w:jc w:val="center"/>
              <w:rPr>
                <w:rFonts w:ascii="仿宋_GB2312" w:hAnsi="Calibri" w:eastAsia="仿宋_GB2312" w:cs="黑体"/>
                <w:b/>
                <w:color w:val="000000" w:themeColor="text1"/>
                <w:sz w:val="32"/>
                <w:szCs w:val="32"/>
              </w:rPr>
            </w:pPr>
            <w:r>
              <w:rPr>
                <w:rFonts w:hint="eastAsia" w:ascii="仿宋_GB2312" w:hAnsi="Calibri" w:eastAsia="仿宋_GB2312" w:cs="黑体"/>
                <w:color w:val="000000" w:themeColor="text1"/>
                <w:sz w:val="32"/>
                <w:szCs w:val="32"/>
              </w:rPr>
              <w:t>中国学生本科专业来源</w:t>
            </w:r>
          </w:p>
        </w:tc>
        <w:tc>
          <w:tcPr>
            <w:tcW w:w="9955" w:type="dxa"/>
            <w:gridSpan w:val="9"/>
            <w:vAlign w:val="center"/>
          </w:tcPr>
          <w:p>
            <w:pPr>
              <w:ind w:left="-107" w:leftChars="-51" w:right="-107" w:rightChars="-51"/>
              <w:rPr>
                <w:rFonts w:ascii="仿宋_GB2312" w:hAnsi="Calibri" w:eastAsia="仿宋_GB2312" w:cs="黑体"/>
                <w:bCs/>
                <w:color w:val="000000" w:themeColor="text1"/>
                <w:sz w:val="32"/>
                <w:szCs w:val="32"/>
              </w:rPr>
            </w:pPr>
            <w:r>
              <w:rPr>
                <w:rFonts w:hint="eastAsia" w:ascii="仿宋_GB2312" w:hAnsi="Calibri" w:eastAsia="仿宋_GB2312" w:cs="黑体"/>
                <w:bCs/>
                <w:color w:val="000000" w:themeColor="text1"/>
                <w:sz w:val="32"/>
                <w:szCs w:val="32"/>
              </w:rPr>
              <w:t>1.汉语国际教育</w:t>
            </w:r>
            <w:r>
              <w:rPr>
                <w:rFonts w:hint="eastAsia" w:ascii="仿宋_GB2312" w:hAnsi="Calibri" w:eastAsia="仿宋_GB2312" w:cs="黑体"/>
                <w:bCs/>
                <w:color w:val="000000" w:themeColor="text1"/>
                <w:sz w:val="32"/>
                <w:szCs w:val="32"/>
                <w:u w:val="single"/>
              </w:rPr>
              <w:t xml:space="preserve"> 45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34.09 </w:t>
            </w:r>
            <w:r>
              <w:rPr>
                <w:rFonts w:hint="eastAsia" w:ascii="仿宋_GB2312" w:hAnsi="Calibri" w:eastAsia="仿宋_GB2312" w:cs="黑体"/>
                <w:bCs/>
                <w:color w:val="000000" w:themeColor="text1"/>
                <w:sz w:val="32"/>
                <w:szCs w:val="32"/>
              </w:rPr>
              <w:t>% ；2.汉语言文学</w:t>
            </w:r>
            <w:r>
              <w:rPr>
                <w:rFonts w:hint="eastAsia" w:ascii="仿宋_GB2312" w:hAnsi="Calibri" w:eastAsia="仿宋_GB2312" w:cs="黑体"/>
                <w:bCs/>
                <w:color w:val="000000" w:themeColor="text1"/>
                <w:sz w:val="32"/>
                <w:szCs w:val="32"/>
                <w:u w:val="single"/>
              </w:rPr>
              <w:t xml:space="preserve"> 30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22.73 </w:t>
            </w:r>
            <w:r>
              <w:rPr>
                <w:rFonts w:hint="eastAsia" w:ascii="仿宋_GB2312" w:hAnsi="Calibri" w:eastAsia="仿宋_GB2312" w:cs="黑体"/>
                <w:bCs/>
                <w:color w:val="000000" w:themeColor="text1"/>
                <w:sz w:val="32"/>
                <w:szCs w:val="32"/>
              </w:rPr>
              <w:t xml:space="preserve"> %</w:t>
            </w:r>
          </w:p>
          <w:p>
            <w:pPr>
              <w:ind w:left="-107" w:leftChars="-51" w:right="-107" w:rightChars="-51"/>
              <w:rPr>
                <w:rFonts w:ascii="仿宋_GB2312" w:hAnsi="Calibri" w:eastAsia="仿宋_GB2312" w:cs="黑体"/>
                <w:bCs/>
                <w:color w:val="000000" w:themeColor="text1"/>
                <w:sz w:val="32"/>
                <w:szCs w:val="32"/>
              </w:rPr>
            </w:pPr>
            <w:r>
              <w:rPr>
                <w:rFonts w:hint="eastAsia" w:ascii="仿宋_GB2312" w:hAnsi="Calibri" w:eastAsia="仿宋_GB2312" w:cs="黑体"/>
                <w:bCs/>
                <w:color w:val="000000" w:themeColor="text1"/>
                <w:sz w:val="32"/>
                <w:szCs w:val="32"/>
              </w:rPr>
              <w:t>3.教育</w:t>
            </w:r>
            <w:r>
              <w:rPr>
                <w:rFonts w:hint="eastAsia" w:ascii="仿宋_GB2312" w:hAnsi="Calibri" w:eastAsia="仿宋_GB2312" w:cs="黑体"/>
                <w:bCs/>
                <w:color w:val="000000" w:themeColor="text1"/>
                <w:sz w:val="32"/>
                <w:szCs w:val="32"/>
                <w:u w:val="single"/>
              </w:rPr>
              <w:t xml:space="preserve"> 4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3.03 </w:t>
            </w:r>
            <w:r>
              <w:rPr>
                <w:rFonts w:hint="eastAsia" w:ascii="仿宋_GB2312" w:hAnsi="Calibri" w:eastAsia="仿宋_GB2312" w:cs="黑体"/>
                <w:bCs/>
                <w:color w:val="000000" w:themeColor="text1"/>
                <w:sz w:val="32"/>
                <w:szCs w:val="32"/>
              </w:rPr>
              <w:t>%；4.外语</w:t>
            </w:r>
            <w:r>
              <w:rPr>
                <w:rFonts w:hint="eastAsia" w:ascii="仿宋_GB2312" w:hAnsi="Calibri" w:eastAsia="仿宋_GB2312" w:cs="黑体"/>
                <w:bCs/>
                <w:color w:val="000000" w:themeColor="text1"/>
                <w:sz w:val="32"/>
                <w:szCs w:val="32"/>
                <w:u w:val="single"/>
              </w:rPr>
              <w:t xml:space="preserve"> 34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25.76 </w:t>
            </w:r>
            <w:r>
              <w:rPr>
                <w:rFonts w:hint="eastAsia" w:ascii="仿宋_GB2312" w:hAnsi="Calibri" w:eastAsia="仿宋_GB2312" w:cs="黑体"/>
                <w:bCs/>
                <w:color w:val="000000" w:themeColor="text1"/>
                <w:sz w:val="32"/>
                <w:szCs w:val="32"/>
              </w:rPr>
              <w:t xml:space="preserve"> %；</w:t>
            </w:r>
          </w:p>
          <w:p>
            <w:pPr>
              <w:ind w:left="213" w:leftChars="-51" w:right="-107" w:rightChars="-51" w:hanging="320" w:hangingChars="100"/>
              <w:rPr>
                <w:rFonts w:ascii="仿宋_GB2312" w:hAnsi="Calibri" w:eastAsia="仿宋_GB2312" w:cs="黑体"/>
                <w:b/>
                <w:color w:val="000000" w:themeColor="text1"/>
                <w:sz w:val="32"/>
                <w:szCs w:val="32"/>
              </w:rPr>
            </w:pPr>
            <w:r>
              <w:rPr>
                <w:rFonts w:hint="eastAsia" w:ascii="仿宋_GB2312" w:hAnsi="Calibri" w:eastAsia="仿宋_GB2312" w:cs="黑体"/>
                <w:bCs/>
                <w:color w:val="000000" w:themeColor="text1"/>
                <w:sz w:val="32"/>
                <w:szCs w:val="32"/>
              </w:rPr>
              <w:t>5.其他：</w:t>
            </w:r>
            <w:r>
              <w:rPr>
                <w:rFonts w:hint="eastAsia" w:ascii="仿宋_GB2312" w:hAnsi="Calibri" w:eastAsia="仿宋_GB2312" w:cs="黑体"/>
                <w:bCs/>
                <w:color w:val="000000" w:themeColor="text1"/>
                <w:sz w:val="32"/>
                <w:szCs w:val="32"/>
                <w:u w:val="single"/>
              </w:rPr>
              <w:t xml:space="preserve"> 国际经济与贸易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4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3.03</w:t>
            </w:r>
            <w:r>
              <w:rPr>
                <w:rFonts w:hint="eastAsia" w:ascii="仿宋_GB2312" w:hAnsi="Calibri" w:eastAsia="仿宋_GB2312" w:cs="黑体"/>
                <w:bCs/>
                <w:color w:val="000000" w:themeColor="text1"/>
                <w:sz w:val="32"/>
                <w:szCs w:val="32"/>
              </w:rPr>
              <w:t xml:space="preserve"> %；</w:t>
            </w:r>
            <w:r>
              <w:rPr>
                <w:rFonts w:hint="eastAsia" w:ascii="仿宋_GB2312" w:hAnsi="Calibri" w:eastAsia="仿宋_GB2312" w:cs="黑体"/>
                <w:bCs/>
                <w:color w:val="000000" w:themeColor="text1"/>
                <w:sz w:val="32"/>
                <w:szCs w:val="32"/>
                <w:u w:val="single"/>
              </w:rPr>
              <w:t xml:space="preserve"> 旅游管理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3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2.27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播音与主持艺术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工业工程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核工程与核技术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会计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物联网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公共事业管理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 xml:space="preserve">%； </w:t>
            </w:r>
            <w:r>
              <w:rPr>
                <w:rFonts w:hint="eastAsia" w:ascii="仿宋_GB2312" w:hAnsi="Calibri" w:eastAsia="仿宋_GB2312" w:cs="黑体"/>
                <w:bCs/>
                <w:color w:val="000000" w:themeColor="text1"/>
                <w:sz w:val="32"/>
                <w:szCs w:val="32"/>
                <w:u w:val="single"/>
              </w:rPr>
              <w:t xml:space="preserve"> 社会工作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现代商务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 xml:space="preserve">%； </w:t>
            </w:r>
            <w:r>
              <w:rPr>
                <w:rFonts w:hint="eastAsia" w:ascii="仿宋_GB2312" w:hAnsi="Calibri" w:eastAsia="仿宋_GB2312" w:cs="黑体"/>
                <w:bCs/>
                <w:color w:val="000000" w:themeColor="text1"/>
                <w:sz w:val="32"/>
                <w:szCs w:val="32"/>
                <w:u w:val="single"/>
              </w:rPr>
              <w:t xml:space="preserve">应用物理学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w:t>
            </w:r>
            <w:r>
              <w:rPr>
                <w:rFonts w:hint="eastAsia" w:ascii="仿宋_GB2312" w:hAnsi="Calibri" w:eastAsia="仿宋_GB2312" w:cs="黑体"/>
                <w:bCs/>
                <w:color w:val="000000" w:themeColor="text1"/>
                <w:sz w:val="32"/>
                <w:szCs w:val="32"/>
                <w:u w:val="single"/>
              </w:rPr>
              <w:t xml:space="preserve"> 新闻学 </w:t>
            </w:r>
            <w:r>
              <w:rPr>
                <w:rFonts w:hint="eastAsia" w:ascii="仿宋_GB2312" w:hAnsi="Calibri" w:eastAsia="仿宋_GB2312" w:cs="黑体"/>
                <w:bCs/>
                <w:color w:val="000000" w:themeColor="text1"/>
                <w:sz w:val="32"/>
                <w:szCs w:val="32"/>
              </w:rPr>
              <w:t>专业，</w:t>
            </w:r>
            <w:r>
              <w:rPr>
                <w:rFonts w:hint="eastAsia" w:ascii="仿宋_GB2312" w:hAnsi="Calibri" w:eastAsia="仿宋_GB2312" w:cs="黑体"/>
                <w:bCs/>
                <w:color w:val="000000" w:themeColor="text1"/>
                <w:sz w:val="32"/>
                <w:szCs w:val="32"/>
                <w:u w:val="single"/>
              </w:rPr>
              <w:t xml:space="preserve"> 2  </w:t>
            </w:r>
            <w:r>
              <w:rPr>
                <w:rFonts w:hint="eastAsia" w:ascii="仿宋_GB2312" w:hAnsi="Calibri" w:eastAsia="仿宋_GB2312" w:cs="黑体"/>
                <w:bCs/>
                <w:color w:val="000000" w:themeColor="text1"/>
                <w:sz w:val="32"/>
                <w:szCs w:val="32"/>
              </w:rPr>
              <w:t xml:space="preserve">人，  </w:t>
            </w:r>
            <w:r>
              <w:rPr>
                <w:rFonts w:hint="eastAsia" w:ascii="仿宋_GB2312" w:hAnsi="Calibri" w:eastAsia="仿宋_GB2312" w:cs="黑体"/>
                <w:bCs/>
                <w:color w:val="000000" w:themeColor="text1"/>
                <w:sz w:val="32"/>
                <w:szCs w:val="32"/>
                <w:u w:val="single"/>
              </w:rPr>
              <w:t xml:space="preserve">1.5 </w:t>
            </w:r>
            <w:r>
              <w:rPr>
                <w:rFonts w:hint="eastAsia" w:ascii="仿宋_GB2312" w:hAnsi="Calibri" w:eastAsia="仿宋_GB2312" w:cs="黑体"/>
                <w:bCs/>
                <w:color w:val="000000" w:themeColor="text1"/>
                <w:sz w:val="32"/>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 w:hRule="atLeast"/>
        </w:trPr>
        <w:tc>
          <w:tcPr>
            <w:tcW w:w="1384" w:type="dxa"/>
            <w:gridSpan w:val="2"/>
            <w:vMerge w:val="continue"/>
            <w:tcBorders>
              <w:bottom w:val="single" w:color="auto" w:sz="4" w:space="0"/>
            </w:tcBorders>
            <w:vAlign w:val="center"/>
          </w:tcPr>
          <w:p>
            <w:pPr>
              <w:jc w:val="center"/>
              <w:rPr>
                <w:rFonts w:ascii="仿宋_GB2312" w:hAnsi="Calibri" w:eastAsia="仿宋_GB2312" w:cs="黑体"/>
                <w:color w:val="000000" w:themeColor="text1"/>
                <w:sz w:val="32"/>
                <w:szCs w:val="32"/>
              </w:rPr>
            </w:pPr>
          </w:p>
        </w:tc>
        <w:tc>
          <w:tcPr>
            <w:tcW w:w="2236" w:type="dxa"/>
            <w:gridSpan w:val="3"/>
            <w:tcBorders>
              <w:bottom w:val="single" w:color="auto" w:sz="4" w:space="0"/>
            </w:tcBorders>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中国学生本科阶段外语背景</w:t>
            </w:r>
          </w:p>
          <w:p>
            <w:pPr>
              <w:jc w:val="center"/>
              <w:rPr>
                <w:rFonts w:ascii="仿宋_GB2312" w:hAnsi="Calibri" w:eastAsia="仿宋_GB2312" w:cs="黑体"/>
                <w:b/>
                <w:color w:val="000000" w:themeColor="text1"/>
                <w:sz w:val="32"/>
                <w:szCs w:val="32"/>
              </w:rPr>
            </w:pPr>
          </w:p>
        </w:tc>
        <w:tc>
          <w:tcPr>
            <w:tcW w:w="9955" w:type="dxa"/>
            <w:gridSpan w:val="9"/>
            <w:vAlign w:val="center"/>
          </w:tcPr>
          <w:p>
            <w:pPr>
              <w:ind w:left="-107" w:leftChars="-51" w:right="-107" w:rightChars="-51"/>
              <w:rPr>
                <w:rFonts w:ascii="仿宋_GB2312" w:hAnsi="Calibri" w:eastAsia="仿宋_GB2312" w:cs="黑体"/>
                <w:bCs/>
                <w:color w:val="000000" w:themeColor="text1"/>
                <w:sz w:val="32"/>
                <w:szCs w:val="32"/>
              </w:rPr>
            </w:pPr>
            <w:r>
              <w:rPr>
                <w:rFonts w:hint="eastAsia" w:ascii="仿宋_GB2312" w:hAnsi="Calibri" w:eastAsia="仿宋_GB2312" w:cs="黑体"/>
                <w:bCs/>
                <w:color w:val="000000" w:themeColor="text1"/>
                <w:sz w:val="32"/>
                <w:szCs w:val="32"/>
              </w:rPr>
              <w:t>1.英语</w:t>
            </w:r>
            <w:r>
              <w:rPr>
                <w:rFonts w:hint="eastAsia" w:ascii="仿宋_GB2312" w:hAnsi="Calibri" w:eastAsia="仿宋_GB2312" w:cs="黑体"/>
                <w:bCs/>
                <w:color w:val="000000" w:themeColor="text1"/>
                <w:sz w:val="32"/>
                <w:szCs w:val="32"/>
                <w:u w:val="single"/>
              </w:rPr>
              <w:t xml:space="preserve">  122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92.42 </w:t>
            </w:r>
            <w:r>
              <w:rPr>
                <w:rFonts w:hint="eastAsia" w:ascii="仿宋_GB2312" w:hAnsi="Calibri" w:eastAsia="仿宋_GB2312" w:cs="黑体"/>
                <w:bCs/>
                <w:color w:val="000000" w:themeColor="text1"/>
                <w:sz w:val="32"/>
                <w:szCs w:val="32"/>
              </w:rPr>
              <w:t>% ；2.法语____人，_____%；3.西班牙语____人，____%；</w:t>
            </w:r>
          </w:p>
          <w:p>
            <w:pPr>
              <w:ind w:left="-107" w:leftChars="-51" w:right="-107" w:rightChars="-51"/>
              <w:rPr>
                <w:rFonts w:ascii="仿宋_GB2312" w:hAnsi="Calibri" w:eastAsia="仿宋_GB2312" w:cs="黑体"/>
                <w:bCs/>
                <w:color w:val="000000" w:themeColor="text1"/>
                <w:sz w:val="32"/>
                <w:szCs w:val="32"/>
              </w:rPr>
            </w:pPr>
            <w:r>
              <w:rPr>
                <w:rFonts w:hint="eastAsia" w:ascii="仿宋_GB2312" w:hAnsi="Calibri" w:eastAsia="仿宋_GB2312" w:cs="黑体"/>
                <w:bCs/>
                <w:color w:val="000000" w:themeColor="text1"/>
                <w:sz w:val="32"/>
                <w:szCs w:val="32"/>
              </w:rPr>
              <w:t>4.俄语</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%；5.阿拉伯语____人，____%；6.日语</w:t>
            </w:r>
            <w:r>
              <w:rPr>
                <w:rFonts w:hint="eastAsia" w:ascii="仿宋_GB2312" w:hAnsi="Calibri" w:eastAsia="仿宋_GB2312" w:cs="黑体"/>
                <w:bCs/>
                <w:color w:val="000000" w:themeColor="text1"/>
                <w:sz w:val="32"/>
                <w:szCs w:val="32"/>
                <w:u w:val="single"/>
              </w:rPr>
              <w:t xml:space="preserve"> 6 </w:t>
            </w:r>
            <w:r>
              <w:rPr>
                <w:rFonts w:hint="eastAsia" w:ascii="仿宋_GB2312" w:hAnsi="Calibri" w:eastAsia="仿宋_GB2312" w:cs="黑体"/>
                <w:bCs/>
                <w:color w:val="000000" w:themeColor="text1"/>
                <w:sz w:val="32"/>
                <w:szCs w:val="32"/>
              </w:rPr>
              <w:t xml:space="preserve">人，   </w:t>
            </w:r>
            <w:r>
              <w:rPr>
                <w:rFonts w:hint="eastAsia" w:ascii="仿宋_GB2312" w:hAnsi="Calibri" w:eastAsia="仿宋_GB2312" w:cs="黑体"/>
                <w:bCs/>
                <w:color w:val="000000" w:themeColor="text1"/>
                <w:sz w:val="32"/>
                <w:szCs w:val="32"/>
                <w:u w:val="single"/>
              </w:rPr>
              <w:t xml:space="preserve">4.5 </w:t>
            </w:r>
            <w:r>
              <w:rPr>
                <w:rFonts w:hint="eastAsia" w:ascii="仿宋_GB2312" w:hAnsi="Calibri" w:eastAsia="仿宋_GB2312" w:cs="黑体"/>
                <w:bCs/>
                <w:color w:val="000000" w:themeColor="text1"/>
                <w:sz w:val="32"/>
                <w:szCs w:val="32"/>
              </w:rPr>
              <w:t>%；</w:t>
            </w:r>
          </w:p>
          <w:p>
            <w:pPr>
              <w:ind w:left="-107" w:leftChars="-51" w:right="-107" w:rightChars="-51"/>
              <w:rPr>
                <w:rFonts w:ascii="仿宋_GB2312" w:hAnsi="Calibri" w:eastAsia="仿宋_GB2312" w:cs="黑体"/>
                <w:b/>
                <w:color w:val="000000" w:themeColor="text1"/>
                <w:sz w:val="32"/>
                <w:szCs w:val="32"/>
              </w:rPr>
            </w:pPr>
            <w:r>
              <w:rPr>
                <w:rFonts w:hint="eastAsia" w:ascii="仿宋_GB2312" w:hAnsi="Calibri" w:eastAsia="仿宋_GB2312" w:cs="黑体"/>
                <w:bCs/>
                <w:color w:val="000000" w:themeColor="text1"/>
                <w:sz w:val="32"/>
                <w:szCs w:val="32"/>
              </w:rPr>
              <w:t>7.韩语</w:t>
            </w:r>
            <w:r>
              <w:rPr>
                <w:rFonts w:hint="eastAsia" w:ascii="仿宋_GB2312" w:hAnsi="Calibri" w:eastAsia="仿宋_GB2312" w:cs="黑体"/>
                <w:bCs/>
                <w:color w:val="000000" w:themeColor="text1"/>
                <w:sz w:val="32"/>
                <w:szCs w:val="32"/>
                <w:u w:val="single"/>
              </w:rPr>
              <w:t xml:space="preserve"> 1 </w:t>
            </w:r>
            <w:r>
              <w:rPr>
                <w:rFonts w:hint="eastAsia" w:ascii="仿宋_GB2312" w:hAnsi="Calibri" w:eastAsia="仿宋_GB2312" w:cs="黑体"/>
                <w:bCs/>
                <w:color w:val="000000" w:themeColor="text1"/>
                <w:sz w:val="32"/>
                <w:szCs w:val="32"/>
              </w:rPr>
              <w:t>人，</w:t>
            </w:r>
            <w:r>
              <w:rPr>
                <w:rFonts w:hint="eastAsia" w:ascii="仿宋_GB2312" w:hAnsi="Calibri" w:eastAsia="仿宋_GB2312" w:cs="黑体"/>
                <w:bCs/>
                <w:color w:val="000000" w:themeColor="text1"/>
                <w:sz w:val="32"/>
                <w:szCs w:val="32"/>
                <w:u w:val="single"/>
              </w:rPr>
              <w:t xml:space="preserve"> 0.76 </w:t>
            </w:r>
            <w:r>
              <w:rPr>
                <w:rFonts w:hint="eastAsia" w:ascii="仿宋_GB2312" w:hAnsi="Calibri" w:eastAsia="仿宋_GB2312" w:cs="黑体"/>
                <w:bCs/>
                <w:color w:val="000000" w:themeColor="text1"/>
                <w:sz w:val="32"/>
                <w:szCs w:val="32"/>
              </w:rPr>
              <w:t>%；8.泰语____人，____%；9.其他</w:t>
            </w:r>
            <w:r>
              <w:rPr>
                <w:rFonts w:hint="eastAsia" w:ascii="仿宋_GB2312" w:hAnsi="Calibri" w:eastAsia="仿宋_GB2312" w:cs="黑体"/>
                <w:bCs/>
                <w:color w:val="000000" w:themeColor="text1"/>
                <w:sz w:val="32"/>
                <w:szCs w:val="32"/>
                <w:u w:val="single"/>
              </w:rPr>
              <w:t xml:space="preserve"> 德 </w:t>
            </w:r>
            <w:r>
              <w:rPr>
                <w:rFonts w:hint="eastAsia" w:ascii="仿宋_GB2312" w:hAnsi="Calibri" w:eastAsia="仿宋_GB2312" w:cs="黑体"/>
                <w:bCs/>
                <w:color w:val="000000" w:themeColor="text1"/>
                <w:sz w:val="32"/>
                <w:szCs w:val="32"/>
              </w:rPr>
              <w:t>语，</w:t>
            </w:r>
            <w:r>
              <w:rPr>
                <w:rFonts w:hint="eastAsia" w:ascii="仿宋_GB2312" w:hAnsi="Calibri" w:eastAsia="仿宋_GB2312" w:cs="黑体"/>
                <w:bCs/>
                <w:color w:val="000000" w:themeColor="text1"/>
                <w:sz w:val="32"/>
                <w:szCs w:val="32"/>
                <w:u w:val="single"/>
              </w:rPr>
              <w:t xml:space="preserve"> 2 </w:t>
            </w:r>
            <w:r>
              <w:rPr>
                <w:rFonts w:hint="eastAsia" w:ascii="仿宋_GB2312" w:hAnsi="Calibri" w:eastAsia="仿宋_GB2312" w:cs="黑体"/>
                <w:bCs/>
                <w:color w:val="000000" w:themeColor="text1"/>
                <w:sz w:val="32"/>
                <w:szCs w:val="32"/>
              </w:rPr>
              <w:t xml:space="preserve">人，  </w:t>
            </w:r>
            <w:r>
              <w:rPr>
                <w:rFonts w:hint="eastAsia" w:ascii="仿宋_GB2312" w:hAnsi="Calibri" w:eastAsia="仿宋_GB2312" w:cs="黑体"/>
                <w:bCs/>
                <w:color w:val="000000" w:themeColor="text1"/>
                <w:sz w:val="32"/>
                <w:szCs w:val="32"/>
                <w:u w:val="single"/>
              </w:rPr>
              <w:t xml:space="preserve">1.5 </w:t>
            </w:r>
            <w:r>
              <w:rPr>
                <w:rFonts w:hint="eastAsia" w:ascii="仿宋_GB2312" w:hAnsi="Calibri" w:eastAsia="仿宋_GB2312" w:cs="黑体"/>
                <w:bCs/>
                <w:color w:val="000000" w:themeColor="text1"/>
                <w:sz w:val="32"/>
                <w:szCs w:val="32"/>
              </w:rPr>
              <w:t>%；</w:t>
            </w:r>
          </w:p>
        </w:tc>
      </w:tr>
    </w:tbl>
    <w:p>
      <w:pPr>
        <w:spacing w:line="360" w:lineRule="auto"/>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四、近3年学生整体情况表</w:t>
      </w:r>
    </w:p>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sectPr>
          <w:pgSz w:w="16834" w:h="11909" w:orient="landscape"/>
          <w:pgMar w:top="1797" w:right="1440" w:bottom="1797" w:left="1440" w:header="397" w:footer="907" w:gutter="0"/>
          <w:pgNumType w:start="1"/>
          <w:cols w:space="425" w:num="1"/>
          <w:titlePg/>
          <w:docGrid w:linePitch="312" w:charSpace="0"/>
        </w:sectPr>
      </w:pPr>
    </w:p>
    <w:p>
      <w:pPr>
        <w:rPr>
          <w:color w:val="000000" w:themeColor="text1"/>
        </w:rPr>
      </w:pPr>
    </w:p>
    <w:tbl>
      <w:tblPr>
        <w:tblStyle w:val="30"/>
        <w:tblpPr w:leftFromText="180" w:rightFromText="180" w:vertAnchor="page" w:horzAnchor="margin" w:tblpY="2146"/>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384" w:type="dxa"/>
            <w:vMerge w:val="restart"/>
            <w:vAlign w:val="center"/>
          </w:tcPr>
          <w:p>
            <w:pPr>
              <w:jc w:val="left"/>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汉语国际教育硕士阶</w:t>
            </w:r>
          </w:p>
          <w:p>
            <w:pPr>
              <w:jc w:val="left"/>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段外语开设情况</w:t>
            </w:r>
          </w:p>
        </w:tc>
        <w:tc>
          <w:tcPr>
            <w:tcW w:w="12191" w:type="dxa"/>
            <w:gridSpan w:val="2"/>
            <w:vAlign w:val="center"/>
          </w:tcPr>
          <w:p>
            <w:pPr>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语种（请列明每年各语种学习人数）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384" w:type="dxa"/>
            <w:vMerge w:val="continue"/>
            <w:vAlign w:val="center"/>
          </w:tcPr>
          <w:p>
            <w:pPr>
              <w:jc w:val="center"/>
              <w:rPr>
                <w:rFonts w:ascii="仿宋_GB2312" w:hAnsi="Calibri" w:eastAsia="仿宋_GB2312" w:cs="黑体"/>
                <w:color w:val="000000" w:themeColor="text1"/>
                <w:sz w:val="32"/>
                <w:szCs w:val="32"/>
              </w:rPr>
            </w:pPr>
          </w:p>
        </w:tc>
        <w:tc>
          <w:tcPr>
            <w:tcW w:w="198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2015年</w:t>
            </w:r>
          </w:p>
        </w:tc>
        <w:tc>
          <w:tcPr>
            <w:tcW w:w="10206" w:type="dxa"/>
            <w:vAlign w:val="center"/>
          </w:tcPr>
          <w:p>
            <w:pPr>
              <w:jc w:val="center"/>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日语 10 人；德语 7 人；语人；语人；语人；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1384" w:type="dxa"/>
            <w:vMerge w:val="continue"/>
            <w:vAlign w:val="center"/>
          </w:tcPr>
          <w:p>
            <w:pPr>
              <w:jc w:val="center"/>
              <w:rPr>
                <w:rFonts w:ascii="仿宋_GB2312" w:hAnsi="Calibri" w:eastAsia="仿宋_GB2312" w:cs="黑体"/>
                <w:color w:val="000000" w:themeColor="text1"/>
                <w:sz w:val="32"/>
                <w:szCs w:val="32"/>
              </w:rPr>
            </w:pPr>
          </w:p>
        </w:tc>
        <w:tc>
          <w:tcPr>
            <w:tcW w:w="1985" w:type="dxa"/>
            <w:vAlign w:val="center"/>
          </w:tcPr>
          <w:p>
            <w:pPr>
              <w:jc w:val="center"/>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2016年</w:t>
            </w:r>
          </w:p>
        </w:tc>
        <w:tc>
          <w:tcPr>
            <w:tcW w:w="10206" w:type="dxa"/>
            <w:vAlign w:val="center"/>
          </w:tcPr>
          <w:p>
            <w:pPr>
              <w:jc w:val="center"/>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日语  9 人；德语 8 人；语人；语人；语人；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384" w:type="dxa"/>
            <w:vMerge w:val="continue"/>
            <w:vAlign w:val="center"/>
          </w:tcPr>
          <w:p>
            <w:pPr>
              <w:jc w:val="center"/>
              <w:rPr>
                <w:rFonts w:ascii="仿宋_GB2312" w:hAnsi="Calibri" w:eastAsia="仿宋_GB2312" w:cs="黑体"/>
                <w:color w:val="000000" w:themeColor="text1"/>
                <w:sz w:val="32"/>
                <w:szCs w:val="32"/>
              </w:rPr>
            </w:pPr>
          </w:p>
        </w:tc>
        <w:tc>
          <w:tcPr>
            <w:tcW w:w="1985" w:type="dxa"/>
            <w:vAlign w:val="center"/>
          </w:tcPr>
          <w:p>
            <w:pPr>
              <w:jc w:val="center"/>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2017年</w:t>
            </w:r>
          </w:p>
        </w:tc>
        <w:tc>
          <w:tcPr>
            <w:tcW w:w="10206" w:type="dxa"/>
            <w:vAlign w:val="center"/>
          </w:tcPr>
          <w:p>
            <w:pPr>
              <w:jc w:val="center"/>
              <w:rPr>
                <w:rFonts w:ascii="仿宋_GB2312" w:hAnsi="Calibri" w:eastAsia="仿宋_GB2312" w:cs="黑体"/>
                <w:color w:val="000000" w:themeColor="text1"/>
                <w:sz w:val="32"/>
                <w:szCs w:val="32"/>
                <w:u w:val="single"/>
              </w:rPr>
            </w:pPr>
            <w:r>
              <w:rPr>
                <w:rFonts w:hint="eastAsia" w:ascii="仿宋_GB2312" w:hAnsi="Calibri" w:eastAsia="仿宋_GB2312" w:cs="黑体"/>
                <w:color w:val="000000" w:themeColor="text1"/>
                <w:sz w:val="32"/>
                <w:szCs w:val="32"/>
              </w:rPr>
              <w:t>日语  9 人；德语 5 人；语人；语人；语人；</w:t>
            </w:r>
          </w:p>
        </w:tc>
      </w:tr>
    </w:tbl>
    <w:p>
      <w:pPr>
        <w:spacing w:line="360" w:lineRule="auto"/>
        <w:rPr>
          <w:rFonts w:ascii="仿宋_GB2312" w:hAnsi="Calibri" w:eastAsia="仿宋_GB2312" w:cs="黑体"/>
          <w:color w:val="000000" w:themeColor="text1"/>
          <w:sz w:val="32"/>
          <w:szCs w:val="32"/>
        </w:rPr>
      </w:pPr>
    </w:p>
    <w:p>
      <w:pPr>
        <w:spacing w:line="360" w:lineRule="auto"/>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五、课程教学信息表</w:t>
      </w:r>
      <w:r>
        <w:rPr>
          <w:rFonts w:hint="eastAsia" w:ascii="仿宋_GB2312" w:hAnsi="仿宋" w:eastAsia="仿宋_GB2312" w:cs="黑体"/>
          <w:color w:val="000000" w:themeColor="text1"/>
          <w:sz w:val="32"/>
          <w:szCs w:val="32"/>
        </w:rPr>
        <w:t>（请按课程表上的每门课程填写，可加页）</w:t>
      </w:r>
    </w:p>
    <w:tbl>
      <w:tblPr>
        <w:tblStyle w:val="30"/>
        <w:tblW w:w="14165" w:type="dxa"/>
        <w:jc w:val="center"/>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959"/>
        <w:gridCol w:w="1527"/>
        <w:gridCol w:w="541"/>
        <w:gridCol w:w="2535"/>
        <w:gridCol w:w="1335"/>
        <w:gridCol w:w="1155"/>
        <w:gridCol w:w="1320"/>
        <w:gridCol w:w="1335"/>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2" w:hRule="exact"/>
          <w:jc w:val="center"/>
        </w:trPr>
        <w:tc>
          <w:tcPr>
            <w:tcW w:w="701" w:type="dxa"/>
            <w:vMerge w:val="restart"/>
            <w:vAlign w:val="center"/>
          </w:tcPr>
          <w:p>
            <w:pPr>
              <w:rPr>
                <w:rFonts w:ascii="仿宋_GB2312" w:hAnsi="Calibri" w:eastAsia="仿宋_GB2312" w:cs="黑体"/>
                <w:color w:val="000000" w:themeColor="text1"/>
                <w:sz w:val="32"/>
                <w:szCs w:val="32"/>
              </w:rPr>
            </w:pP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序号</w:t>
            </w:r>
          </w:p>
        </w:tc>
        <w:tc>
          <w:tcPr>
            <w:tcW w:w="1959" w:type="dxa"/>
            <w:vMerge w:val="restart"/>
            <w:vAlign w:val="center"/>
          </w:tcPr>
          <w:p>
            <w:pPr>
              <w:rPr>
                <w:rFonts w:ascii="仿宋_GB2312" w:hAnsi="Calibri" w:eastAsia="仿宋_GB2312" w:cs="黑体"/>
                <w:color w:val="000000" w:themeColor="text1"/>
                <w:sz w:val="32"/>
                <w:szCs w:val="32"/>
              </w:rPr>
            </w:pP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课程名称</w:t>
            </w:r>
          </w:p>
        </w:tc>
        <w:tc>
          <w:tcPr>
            <w:tcW w:w="1527" w:type="dxa"/>
            <w:vMerge w:val="restart"/>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课程类别A必修</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B选修</w:t>
            </w:r>
          </w:p>
        </w:tc>
        <w:tc>
          <w:tcPr>
            <w:tcW w:w="541" w:type="dxa"/>
            <w:vMerge w:val="restart"/>
            <w:vAlign w:val="center"/>
          </w:tcPr>
          <w:p>
            <w:pPr>
              <w:ind w:left="-130" w:leftChars="-62" w:right="-107" w:rightChars="-51"/>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学分</w:t>
            </w:r>
          </w:p>
        </w:tc>
        <w:tc>
          <w:tcPr>
            <w:tcW w:w="2535" w:type="dxa"/>
            <w:vMerge w:val="restart"/>
            <w:shd w:val="clear" w:color="auto" w:fill="auto"/>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教材/讲义名称</w:t>
            </w:r>
          </w:p>
        </w:tc>
        <w:tc>
          <w:tcPr>
            <w:tcW w:w="1335" w:type="dxa"/>
            <w:shd w:val="clear" w:color="auto" w:fill="auto"/>
            <w:vAlign w:val="center"/>
          </w:tcPr>
          <w:p>
            <w:pPr>
              <w:ind w:left="-107" w:leftChars="-51" w:right="-107" w:rightChars="-51"/>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教材来源</w:t>
            </w:r>
          </w:p>
        </w:tc>
        <w:tc>
          <w:tcPr>
            <w:tcW w:w="115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教材语言</w:t>
            </w:r>
          </w:p>
        </w:tc>
        <w:tc>
          <w:tcPr>
            <w:tcW w:w="1320"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授课语言</w:t>
            </w:r>
          </w:p>
        </w:tc>
        <w:tc>
          <w:tcPr>
            <w:tcW w:w="133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教学方法</w:t>
            </w:r>
          </w:p>
        </w:tc>
        <w:tc>
          <w:tcPr>
            <w:tcW w:w="1757"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exact"/>
          <w:jc w:val="center"/>
        </w:trPr>
        <w:tc>
          <w:tcPr>
            <w:tcW w:w="701" w:type="dxa"/>
            <w:vMerge w:val="continue"/>
            <w:vAlign w:val="center"/>
          </w:tcPr>
          <w:p>
            <w:pPr>
              <w:jc w:val="center"/>
              <w:rPr>
                <w:rFonts w:ascii="仿宋_GB2312" w:hAnsi="Calibri" w:eastAsia="仿宋_GB2312" w:cs="黑体"/>
                <w:color w:val="000000" w:themeColor="text1"/>
                <w:sz w:val="32"/>
                <w:szCs w:val="32"/>
              </w:rPr>
            </w:pPr>
          </w:p>
        </w:tc>
        <w:tc>
          <w:tcPr>
            <w:tcW w:w="1959" w:type="dxa"/>
            <w:vMerge w:val="continue"/>
            <w:vAlign w:val="center"/>
          </w:tcPr>
          <w:p>
            <w:pPr>
              <w:jc w:val="center"/>
              <w:rPr>
                <w:rFonts w:ascii="仿宋_GB2312" w:hAnsi="Calibri" w:eastAsia="仿宋_GB2312" w:cs="黑体"/>
                <w:color w:val="000000" w:themeColor="text1"/>
                <w:sz w:val="32"/>
                <w:szCs w:val="32"/>
              </w:rPr>
            </w:pPr>
          </w:p>
        </w:tc>
        <w:tc>
          <w:tcPr>
            <w:tcW w:w="1527" w:type="dxa"/>
            <w:vMerge w:val="continue"/>
            <w:vAlign w:val="center"/>
          </w:tcPr>
          <w:p>
            <w:pPr>
              <w:jc w:val="center"/>
              <w:rPr>
                <w:rFonts w:ascii="仿宋_GB2312" w:hAnsi="Calibri" w:eastAsia="仿宋_GB2312" w:cs="黑体"/>
                <w:color w:val="000000" w:themeColor="text1"/>
                <w:sz w:val="32"/>
                <w:szCs w:val="32"/>
              </w:rPr>
            </w:pPr>
          </w:p>
        </w:tc>
        <w:tc>
          <w:tcPr>
            <w:tcW w:w="541" w:type="dxa"/>
            <w:vMerge w:val="continue"/>
            <w:vAlign w:val="center"/>
          </w:tcPr>
          <w:p>
            <w:pPr>
              <w:jc w:val="center"/>
              <w:rPr>
                <w:rFonts w:ascii="仿宋_GB2312" w:hAnsi="Calibri" w:eastAsia="仿宋_GB2312" w:cs="黑体"/>
                <w:color w:val="000000" w:themeColor="text1"/>
                <w:sz w:val="32"/>
                <w:szCs w:val="32"/>
              </w:rPr>
            </w:pPr>
          </w:p>
        </w:tc>
        <w:tc>
          <w:tcPr>
            <w:tcW w:w="2535" w:type="dxa"/>
            <w:vMerge w:val="continue"/>
            <w:shd w:val="clear" w:color="auto" w:fill="auto"/>
            <w:vAlign w:val="center"/>
          </w:tcPr>
          <w:p>
            <w:pPr>
              <w:jc w:val="center"/>
              <w:rPr>
                <w:rFonts w:ascii="仿宋_GB2312" w:hAnsi="Calibri" w:eastAsia="仿宋_GB2312" w:cs="黑体"/>
                <w:color w:val="000000" w:themeColor="text1"/>
                <w:sz w:val="32"/>
                <w:szCs w:val="32"/>
              </w:rPr>
            </w:pPr>
          </w:p>
        </w:tc>
        <w:tc>
          <w:tcPr>
            <w:tcW w:w="1335" w:type="dxa"/>
            <w:shd w:val="clear" w:color="auto" w:fill="auto"/>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A国内</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B国外</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C自编</w:t>
            </w:r>
          </w:p>
        </w:tc>
        <w:tc>
          <w:tcPr>
            <w:tcW w:w="115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A汉语 B外语</w:t>
            </w:r>
          </w:p>
        </w:tc>
        <w:tc>
          <w:tcPr>
            <w:tcW w:w="1320"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A汉语 B外语</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C双语</w:t>
            </w:r>
          </w:p>
        </w:tc>
        <w:tc>
          <w:tcPr>
            <w:tcW w:w="1335"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A讲授</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B讨论</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C案例</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D演练</w:t>
            </w:r>
          </w:p>
        </w:tc>
        <w:tc>
          <w:tcPr>
            <w:tcW w:w="1757" w:type="dxa"/>
            <w:vAlign w:val="center"/>
          </w:tcPr>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 xml:space="preserve">A闭卷 </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B文章</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C案例</w:t>
            </w:r>
          </w:p>
          <w:p>
            <w:pPr>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D演示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汉语作为第二语言教学</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4</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汉语作为第二语言教学</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跨文化交际</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跨文化交际</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3</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国外汉语教学案例分析</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5</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第二语言习得</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第二语言习得</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6</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中华文化与传播</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3</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自备</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9</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课程设计与实践</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3</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10</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中华文化与才艺展示</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11</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汉外语言对比与偏误分析</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汉外语言对比与偏误分析</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12</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汉语语言学导论</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汉语语言学导论</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13</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中国思想文化</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（自备讲义）两汉至宋明之思想文化精髓与变迁</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ind w:firstLine="120" w:firstLineChars="50"/>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14</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中国传统文化评析</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中国传统文化评析</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15</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当代中国专题</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p>
            <w:pPr>
              <w:jc w:val="center"/>
              <w:rPr>
                <w:rFonts w:asciiTheme="minorEastAsia" w:hAnsiTheme="minorEastAsia" w:cstheme="minorEastAsia"/>
                <w:color w:val="000000" w:themeColor="text1"/>
                <w:sz w:val="24"/>
                <w:szCs w:val="24"/>
              </w:rPr>
            </w:pP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自备</w:t>
            </w:r>
          </w:p>
          <w:p>
            <w:pPr>
              <w:jc w:val="center"/>
              <w:rPr>
                <w:rFonts w:asciiTheme="minorEastAsia" w:hAnsiTheme="minorEastAsia" w:cstheme="minorEastAsia"/>
                <w:color w:val="000000" w:themeColor="text1"/>
                <w:sz w:val="24"/>
                <w:szCs w:val="24"/>
              </w:rPr>
            </w:pP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16</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汉语教材与教学资源</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对外汉语教材通论，李泉，商务印书馆，2012年版</w:t>
            </w: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17</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外语教育心理学</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r>
              <w:rPr>
                <w:rFonts w:asciiTheme="minorEastAsia" w:hAnsiTheme="minorEastAsia" w:cstheme="minorEastAsia"/>
                <w:color w:val="000000" w:themeColor="text1"/>
                <w:sz w:val="24"/>
                <w:szCs w:val="24"/>
              </w:rPr>
              <w:t xml:space="preserve"> </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对外汉语教学心理学</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18</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中外文化比较</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中西文化比较教程Chinese and Western Cultures: A course of Comparative Study</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p>
            <w:pPr>
              <w:jc w:val="center"/>
              <w:rPr>
                <w:rFonts w:asciiTheme="minorEastAsia" w:hAnsiTheme="minorEastAsia" w:cstheme="minorEastAsia"/>
                <w:color w:val="000000" w:themeColor="text1"/>
                <w:sz w:val="24"/>
                <w:szCs w:val="24"/>
              </w:rPr>
            </w:pP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19</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中华文化经典</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自备</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20</w:t>
            </w:r>
          </w:p>
        </w:tc>
        <w:tc>
          <w:tcPr>
            <w:tcW w:w="1959" w:type="dxa"/>
            <w:vAlign w:val="center"/>
          </w:tcPr>
          <w:p>
            <w:pPr>
              <w:jc w:val="center"/>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欧美语言文化研究</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asciiTheme="minorEastAsia" w:hAnsiTheme="minorEastAsia" w:cstheme="minorEastAsia"/>
                <w:color w:val="000000" w:themeColor="text1"/>
                <w:sz w:val="24"/>
                <w:szCs w:val="24"/>
              </w:rPr>
              <w:t>欧美语言文化研究</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21</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涉外礼仪</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22</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国外中小学教育</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23</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汉语国际推广专题</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3" w:hRule="exact"/>
          <w:jc w:val="center"/>
        </w:trPr>
        <w:tc>
          <w:tcPr>
            <w:tcW w:w="70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24</w:t>
            </w:r>
          </w:p>
        </w:tc>
        <w:tc>
          <w:tcPr>
            <w:tcW w:w="1959"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国别汉语教学调查分析</w:t>
            </w:r>
          </w:p>
        </w:tc>
        <w:tc>
          <w:tcPr>
            <w:tcW w:w="152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c>
          <w:tcPr>
            <w:tcW w:w="541"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1</w:t>
            </w:r>
          </w:p>
        </w:tc>
        <w:tc>
          <w:tcPr>
            <w:tcW w:w="25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自编</w:t>
            </w:r>
          </w:p>
        </w:tc>
        <w:tc>
          <w:tcPr>
            <w:tcW w:w="1335" w:type="dxa"/>
            <w:shd w:val="clear" w:color="auto" w:fill="auto"/>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C</w:t>
            </w:r>
          </w:p>
        </w:tc>
        <w:tc>
          <w:tcPr>
            <w:tcW w:w="115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20"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w:t>
            </w:r>
          </w:p>
        </w:tc>
        <w:tc>
          <w:tcPr>
            <w:tcW w:w="1335"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A B C D</w:t>
            </w:r>
          </w:p>
        </w:tc>
        <w:tc>
          <w:tcPr>
            <w:tcW w:w="1757" w:type="dxa"/>
            <w:vAlign w:val="center"/>
          </w:tcPr>
          <w:p>
            <w:pPr>
              <w:jc w:val="center"/>
              <w:rPr>
                <w:rFonts w:asciiTheme="minorEastAsia" w:hAnsiTheme="minorEastAsia" w:cstheme="minorEastAsia"/>
                <w:color w:val="000000" w:themeColor="text1"/>
                <w:sz w:val="24"/>
                <w:szCs w:val="24"/>
              </w:rPr>
            </w:pPr>
            <w:r>
              <w:rPr>
                <w:rFonts w:hint="eastAsia" w:asciiTheme="minorEastAsia" w:hAnsiTheme="minorEastAsia" w:cstheme="minorEastAsia"/>
                <w:color w:val="000000" w:themeColor="text1"/>
                <w:sz w:val="24"/>
                <w:szCs w:val="24"/>
              </w:rPr>
              <w:t>B</w:t>
            </w:r>
          </w:p>
        </w:tc>
      </w:tr>
    </w:tbl>
    <w:p>
      <w:pPr>
        <w:tabs>
          <w:tab w:val="left" w:pos="8280"/>
        </w:tabs>
        <w:snapToGrid w:val="0"/>
        <w:spacing w:after="120"/>
        <w:jc w:val="left"/>
        <w:rPr>
          <w:rFonts w:ascii="仿宋_GB2312" w:hAnsi="Calibri" w:eastAsia="仿宋_GB2312" w:cs="黑体"/>
          <w:color w:val="000000" w:themeColor="text1"/>
          <w:sz w:val="32"/>
          <w:szCs w:val="32"/>
        </w:rPr>
        <w:sectPr>
          <w:pgSz w:w="16834" w:h="11909" w:orient="landscape"/>
          <w:pgMar w:top="1797" w:right="1440" w:bottom="1797" w:left="1440" w:header="1814" w:footer="1644" w:gutter="0"/>
          <w:cols w:space="425" w:num="1"/>
          <w:titlePg/>
          <w:docGrid w:linePitch="312" w:charSpace="0"/>
        </w:sectPr>
      </w:pPr>
    </w:p>
    <w:p>
      <w:pPr>
        <w:numPr>
          <w:ilvl w:val="0"/>
          <w:numId w:val="1"/>
        </w:numPr>
        <w:tabs>
          <w:tab w:val="left" w:pos="8280"/>
        </w:tabs>
        <w:snapToGrid w:val="0"/>
        <w:spacing w:after="120"/>
        <w:jc w:val="left"/>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任课教师个人信息表</w:t>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068"/>
        <w:gridCol w:w="1136"/>
        <w:gridCol w:w="949"/>
        <w:gridCol w:w="21"/>
        <w:gridCol w:w="388"/>
        <w:gridCol w:w="1170"/>
        <w:gridCol w:w="998"/>
        <w:gridCol w:w="224"/>
        <w:gridCol w:w="1069"/>
        <w:gridCol w:w="1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杨同用</w:t>
            </w:r>
          </w:p>
        </w:tc>
        <w:tc>
          <w:tcPr>
            <w:tcW w:w="106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性别</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男</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出生日期</w:t>
            </w:r>
          </w:p>
        </w:tc>
        <w:tc>
          <w:tcPr>
            <w:tcW w:w="239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1964.3</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最终学位</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职称</w:t>
            </w:r>
          </w:p>
        </w:tc>
        <w:tc>
          <w:tcPr>
            <w:tcW w:w="213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教授</w:t>
            </w:r>
          </w:p>
        </w:tc>
        <w:tc>
          <w:tcPr>
            <w:tcW w:w="113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副院长</w:t>
            </w:r>
          </w:p>
        </w:tc>
        <w:tc>
          <w:tcPr>
            <w:tcW w:w="2392"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联系方式</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手机：</w:t>
            </w:r>
            <w:r>
              <w:rPr>
                <w:rFonts w:hint="eastAsia" w:asciiTheme="minorEastAsia" w:hAnsiTheme="minorEastAsia" w:cstheme="minorEastAsia"/>
                <w:color w:val="000000" w:themeColor="text1"/>
                <w:sz w:val="18"/>
                <w:szCs w:val="18"/>
              </w:rPr>
              <w:t>1551801381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3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3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Email:</w:t>
            </w:r>
            <w:r>
              <w:rPr>
                <w:rFonts w:hint="eastAsia" w:asciiTheme="minorEastAsia" w:hAnsiTheme="minorEastAsia" w:cstheme="minorEastAsia"/>
                <w:color w:val="000000" w:themeColor="text1"/>
                <w:sz w:val="18"/>
                <w:szCs w:val="18"/>
              </w:rPr>
              <w:t>yangtongyong@sina.com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专业特长</w:t>
            </w:r>
          </w:p>
        </w:tc>
        <w:tc>
          <w:tcPr>
            <w:tcW w:w="7028"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语言教学、词汇学、语法学、词典学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任课类别（必修、选修）</w:t>
            </w: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必修</w:t>
            </w:r>
          </w:p>
        </w:tc>
        <w:tc>
          <w:tcPr>
            <w:tcW w:w="278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能否用外语授课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85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指导研究生情况</w:t>
            </w: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已获学位研究生人数</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85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现有在读研究生人数</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是否本校在编教师，如为外聘注明工作单位</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1983</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1987</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河北大学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1988</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1991</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河北大学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现代汉语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1999</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山东大学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教学对象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留学生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汉语口语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国内本科</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现代汉语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国内本科</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汉语语法研究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硕士生</w:t>
            </w:r>
            <w:r>
              <w:rPr>
                <w:rFonts w:hint="eastAsia" w:asciiTheme="minorEastAsia" w:hAnsiTheme="minorEastAsia" w:cstheme="minorEastAsia"/>
                <w:color w:val="000000" w:themeColor="text1"/>
                <w:sz w:val="18"/>
                <w:szCs w:val="18"/>
              </w:rPr>
              <w:t>（含国内生、留学生）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国外汉语课堂教学案例分析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国外</w:t>
            </w:r>
            <w:r>
              <w:rPr>
                <w:rFonts w:hint="eastAsia" w:asciiTheme="minorEastAsia" w:hAnsiTheme="minorEastAsia" w:cstheme="minorEastAsia"/>
                <w:color w:val="000000" w:themeColor="text1"/>
                <w:sz w:val="18"/>
                <w:szCs w:val="18"/>
              </w:rPr>
              <w:t>学习/工作</w:t>
            </w:r>
            <w:r>
              <w:rPr>
                <w:rFonts w:asciiTheme="minorEastAsia" w:hAnsiTheme="minorEastAsia" w:cstheme="minorEastAsia"/>
                <w:color w:val="000000" w:themeColor="text1"/>
                <w:sz w:val="18"/>
                <w:szCs w:val="18"/>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国家及学校（系）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韩国济州道第一高等学校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汉语</w:t>
            </w:r>
            <w:r>
              <w:rPr>
                <w:rFonts w:hint="eastAsia" w:asciiTheme="minorEastAsia" w:hAnsiTheme="minorEastAsia" w:cstheme="minorEastAsia"/>
                <w:color w:val="000000" w:themeColor="text1"/>
                <w:sz w:val="18"/>
                <w:szCs w:val="18"/>
              </w:rPr>
              <w:t>（综合）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获奖/论文著作成果名称</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现代汉语篇章中的语言表现形式研究</w:t>
            </w:r>
          </w:p>
        </w:tc>
        <w:tc>
          <w:tcPr>
            <w:tcW w:w="488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省级</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语文辞书词性标注及相关的几个问题</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河北师范大学学报</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核心</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2014.</w:t>
            </w:r>
            <w:r>
              <w:rPr>
                <w:rFonts w:hint="eastAsia" w:asciiTheme="minorEastAsia" w:hAnsiTheme="minorEastAsia" w:cstheme="minorEastAsia"/>
                <w:color w:val="000000" w:themeColor="text1"/>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政务新媒体高峰论坛</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词的功能与语文词典的词性标注和释义</w:t>
            </w:r>
          </w:p>
        </w:tc>
        <w:tc>
          <w:tcPr>
            <w:tcW w:w="12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浙江省政务新媒体研究院</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2016．4</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4"/>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注：要求1人1表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仿宋_GB2312" w:hAnsi="Calibri" w:eastAsia="仿宋_GB2312" w:cs="黑体"/>
                <w:color w:val="000000" w:themeColor="text1"/>
                <w:sz w:val="18"/>
                <w:szCs w:val="18"/>
              </w:rPr>
              <w:br w:type="page"/>
            </w: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税昌锡</w:t>
            </w:r>
          </w:p>
        </w:tc>
        <w:tc>
          <w:tcPr>
            <w:tcW w:w="106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1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1965.10</w:t>
            </w:r>
          </w:p>
        </w:tc>
        <w:tc>
          <w:tcPr>
            <w:tcW w:w="130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13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13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8"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手机：15267051080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3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3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8"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 shchx65@126.com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028"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汉语语法、汉英语言对比、汉语国际教育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必修、选修</w:t>
            </w:r>
          </w:p>
        </w:tc>
        <w:tc>
          <w:tcPr>
            <w:tcW w:w="25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85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85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0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2"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1981</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1983</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遵义师范专科学校（现遵义师范学院）</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1987</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1989</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贵州教育学院（现贵州师范学院）</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1996</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1999</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广西师范大学硕士研究生</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1999</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华东师范大学博士研究生</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现代汉语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2006</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暨南大学博士后研究人员</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现代汉语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汉语国际教育专业硕士，中文系本科生，留学生</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汉外语言对比与偏误分析，第二语言习得，语言学概论，现代汉语语法专题，汉语视听说，中级阅读，商务汉语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2010</w:t>
            </w:r>
          </w:p>
        </w:tc>
        <w:tc>
          <w:tcPr>
            <w:tcW w:w="161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2011</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英国卡迪夫大学语言与传播研究中心</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《汉语语义指向论稿》</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吉林省新闻出版奖·图书精品奖</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《汉语语义指向论稿》</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贵州省第七次哲学社会科学优秀成果</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二等奖</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附着事件、附着动词及相关句法语义</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贵州省第八次哲学社会科学优秀成果三等奖</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基于事件过程结构的“了”语法意义新探</w:t>
            </w:r>
          </w:p>
        </w:tc>
        <w:tc>
          <w:tcPr>
            <w:tcW w:w="466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贵州省第十次哲学社会科学优秀成果三等奖</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《基于过程的汉语事态表达研究》</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中国社会科学出版社</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事件过程结构及其动态特征</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语言学论丛</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2014年（第49辑）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过程哲学观中的事件及其语言表达式</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贵州师范大学学报</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2014年第4期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“过”的时体义与经历事态标记功能</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华文教学与研究</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2015年第2期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汉语动词的事态结构</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国际汉语学报</w:t>
            </w:r>
          </w:p>
        </w:tc>
        <w:tc>
          <w:tcPr>
            <w:tcW w:w="257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6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2015年第1期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bookmarkStart w:id="0" w:name="OLE_LINK1"/>
            <w:r>
              <w:rPr>
                <w:rFonts w:hint="eastAsia" w:asciiTheme="minorEastAsia" w:hAnsiTheme="minorEastAsia" w:cstheme="minorEastAsia"/>
                <w:color w:val="000000" w:themeColor="text1"/>
                <w:sz w:val="18"/>
                <w:szCs w:val="18"/>
              </w:rPr>
              <w:t>第12届对外汉语国际学术研讨会（ICCSL-12）</w:t>
            </w:r>
            <w:bookmarkEnd w:id="0"/>
            <w:r>
              <w:rPr>
                <w:rFonts w:hint="eastAsia" w:asciiTheme="minorEastAsia" w:hAnsiTheme="minorEastAsia" w:cstheme="minorEastAsia"/>
                <w:color w:val="000000" w:themeColor="text1"/>
                <w:sz w:val="18"/>
                <w:szCs w:val="18"/>
              </w:rPr>
              <w:t>——“多元学术视野下的对外汉语教学语法与语法教学研究”国际学术研讨会</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面向第二语言教学的汉语体貌标记事态分布研究</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北京语言大学，北京第二外国语学院</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2015年10月17-18日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北京：北京第二外国语学院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第一届国际华文教学研讨会</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分组报告，大会小组总结</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汉英事态量度的类型学比较</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华侨大学</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2015年11年11月20至21日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厦门：华侨大学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2016年普林斯顿大学对外汉语教学研讨会</w:t>
            </w:r>
          </w:p>
          <w:p>
            <w:pPr>
              <w:jc w:val="center"/>
              <w:rPr>
                <w:rFonts w:asciiTheme="minorEastAsia" w:hAnsiTheme="minorEastAsia" w:cstheme="minorEastAsia"/>
                <w:color w:val="000000" w:themeColor="text1"/>
                <w:sz w:val="18"/>
                <w:szCs w:val="18"/>
              </w:rPr>
            </w:pP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面向第二语言教学的汉语体貌标记事态分布研究</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美国普林斯顿大学</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２０１６年4月29日至30日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美国：美国普林斯顿大学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境外汉语语法学史及数据库建设</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情态：定义、特征与表达手段</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暨南大</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2017年03月17日至20日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广州：暨南大</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第六届国际汉语教学研究生指导研讨会</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分组报告，大会小组总结</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面向第二语言教学的汉语时体标记事态分布研究</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国际汉语教学研究生指导研讨会</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2017年7月7至9日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上海：上海</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第14届对外汉语国际学术研讨会（多元文化背景下汉语教学理论与方法）</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汉英事态量度的类型学比较</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对外汉语国际学术研讨会</w:t>
            </w:r>
          </w:p>
        </w:tc>
        <w:tc>
          <w:tcPr>
            <w:tcW w:w="12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2017年10月13至16日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济南：山东师范大学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4"/>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108" w:type="dxa"/>
        <w:tblLayout w:type="fixed"/>
        <w:tblCellMar>
          <w:top w:w="0" w:type="dxa"/>
          <w:left w:w="0" w:type="dxa"/>
          <w:bottom w:w="0" w:type="dxa"/>
          <w:right w:w="0" w:type="dxa"/>
        </w:tblCellMar>
      </w:tblPr>
      <w:tblGrid>
        <w:gridCol w:w="720"/>
        <w:gridCol w:w="526"/>
        <w:gridCol w:w="545"/>
        <w:gridCol w:w="1053"/>
        <w:gridCol w:w="1151"/>
        <w:gridCol w:w="970"/>
        <w:gridCol w:w="99"/>
        <w:gridCol w:w="289"/>
        <w:gridCol w:w="1170"/>
        <w:gridCol w:w="1091"/>
        <w:gridCol w:w="1200"/>
        <w:gridCol w:w="45"/>
        <w:gridCol w:w="1028"/>
      </w:tblGrid>
      <w:tr>
        <w:tblPrEx>
          <w:tblLayout w:type="fixed"/>
          <w:tblCellMar>
            <w:top w:w="0" w:type="dxa"/>
            <w:left w:w="0" w:type="dxa"/>
            <w:bottom w:w="0" w:type="dxa"/>
            <w:right w:w="0" w:type="dxa"/>
          </w:tblCellMar>
        </w:tblPrEx>
        <w:trPr>
          <w:trHeight w:val="529" w:hRule="atLeast"/>
          <w:jc w:val="center"/>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姓名</w:t>
            </w:r>
          </w:p>
        </w:tc>
        <w:tc>
          <w:tcPr>
            <w:tcW w:w="1071"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严慧仙</w:t>
            </w:r>
          </w:p>
        </w:tc>
        <w:tc>
          <w:tcPr>
            <w:tcW w:w="105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性别</w:t>
            </w:r>
          </w:p>
        </w:tc>
        <w:tc>
          <w:tcPr>
            <w:tcW w:w="115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女</w:t>
            </w: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出生日期</w:t>
            </w:r>
          </w:p>
        </w:tc>
        <w:tc>
          <w:tcPr>
            <w:tcW w:w="2261"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1962.10.13</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最终学位</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硕士</w:t>
            </w:r>
          </w:p>
        </w:tc>
      </w:tr>
      <w:tr>
        <w:tblPrEx>
          <w:tblLayout w:type="fixed"/>
          <w:tblCellMar>
            <w:top w:w="0" w:type="dxa"/>
            <w:left w:w="0" w:type="dxa"/>
            <w:bottom w:w="0" w:type="dxa"/>
            <w:right w:w="0" w:type="dxa"/>
          </w:tblCellMar>
        </w:tblPrEx>
        <w:trPr>
          <w:jc w:val="center"/>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职称</w:t>
            </w:r>
          </w:p>
        </w:tc>
        <w:tc>
          <w:tcPr>
            <w:tcW w:w="212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教授</w:t>
            </w:r>
          </w:p>
        </w:tc>
        <w:tc>
          <w:tcPr>
            <w:tcW w:w="115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任现职</w:t>
            </w:r>
          </w:p>
        </w:tc>
        <w:tc>
          <w:tcPr>
            <w:tcW w:w="135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教授</w:t>
            </w:r>
          </w:p>
        </w:tc>
        <w:tc>
          <w:tcPr>
            <w:tcW w:w="226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联系方式</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手机：18958073721</w:t>
            </w:r>
          </w:p>
        </w:tc>
      </w:tr>
      <w:tr>
        <w:tblPrEx>
          <w:tblLayout w:type="fixed"/>
          <w:tblCellMar>
            <w:top w:w="0" w:type="dxa"/>
            <w:left w:w="0" w:type="dxa"/>
            <w:bottom w:w="0" w:type="dxa"/>
            <w:right w:w="0" w:type="dxa"/>
          </w:tblCellMar>
        </w:tblPrEx>
        <w:trPr>
          <w:jc w:val="center"/>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12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115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26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Email:974189639</w:t>
            </w:r>
            <w:r>
              <w:rPr>
                <w:rFonts w:hint="eastAsia" w:asciiTheme="minorEastAsia" w:hAnsiTheme="minorEastAsia" w:cstheme="minorEastAsia"/>
                <w:color w:val="000000" w:themeColor="text1"/>
                <w:sz w:val="18"/>
                <w:szCs w:val="18"/>
              </w:rPr>
              <w:t>@qq.com</w:t>
            </w:r>
          </w:p>
        </w:tc>
      </w:tr>
      <w:tr>
        <w:tblPrEx>
          <w:tblLayout w:type="fixed"/>
          <w:tblCellMar>
            <w:top w:w="0" w:type="dxa"/>
            <w:left w:w="0" w:type="dxa"/>
            <w:bottom w:w="0" w:type="dxa"/>
            <w:right w:w="0" w:type="dxa"/>
          </w:tblCellMar>
        </w:tblPrEx>
        <w:trPr>
          <w:trHeight w:val="537"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专业特长</w:t>
            </w:r>
          </w:p>
        </w:tc>
        <w:tc>
          <w:tcPr>
            <w:tcW w:w="7043" w:type="dxa"/>
            <w:gridSpan w:val="9"/>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英语熟练，跨文化交际与二语习得</w:t>
            </w:r>
          </w:p>
        </w:tc>
      </w:tr>
      <w:tr>
        <w:tblPrEx>
          <w:tblLayout w:type="fixed"/>
          <w:tblCellMar>
            <w:top w:w="0" w:type="dxa"/>
            <w:left w:w="0" w:type="dxa"/>
            <w:bottom w:w="0" w:type="dxa"/>
            <w:right w:w="0" w:type="dxa"/>
          </w:tblCellMar>
        </w:tblPrEx>
        <w:trPr>
          <w:trHeight w:val="537"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任课类别（必修、选修）</w:t>
            </w:r>
          </w:p>
        </w:tc>
        <w:tc>
          <w:tcPr>
            <w:tcW w:w="2121"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必修</w:t>
            </w:r>
          </w:p>
        </w:tc>
        <w:tc>
          <w:tcPr>
            <w:tcW w:w="2649"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能否用外语授课</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能</w:t>
            </w:r>
          </w:p>
        </w:tc>
      </w:tr>
      <w:tr>
        <w:tblPrEx>
          <w:tblLayout w:type="fixed"/>
          <w:tblCellMar>
            <w:top w:w="0" w:type="dxa"/>
            <w:left w:w="0" w:type="dxa"/>
            <w:bottom w:w="0" w:type="dxa"/>
            <w:right w:w="0" w:type="dxa"/>
          </w:tblCellMar>
        </w:tblPrEx>
        <w:trPr>
          <w:trHeight w:val="300" w:hRule="atLeast"/>
          <w:jc w:val="center"/>
        </w:trPr>
        <w:tc>
          <w:tcPr>
            <w:tcW w:w="2844"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指导研究生情况</w:t>
            </w:r>
          </w:p>
        </w:tc>
        <w:tc>
          <w:tcPr>
            <w:tcW w:w="2121"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已获学位研究生人数</w:t>
            </w:r>
          </w:p>
        </w:tc>
        <w:tc>
          <w:tcPr>
            <w:tcW w:w="4922" w:type="dxa"/>
            <w:gridSpan w:val="7"/>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4（本校专业）20（外校英语硕士毕业）</w:t>
            </w:r>
          </w:p>
        </w:tc>
      </w:tr>
      <w:tr>
        <w:tblPrEx>
          <w:tblLayout w:type="fixed"/>
          <w:tblCellMar>
            <w:top w:w="0" w:type="dxa"/>
            <w:left w:w="0" w:type="dxa"/>
            <w:bottom w:w="0" w:type="dxa"/>
            <w:right w:w="0" w:type="dxa"/>
          </w:tblCellMar>
        </w:tblPrEx>
        <w:trPr>
          <w:trHeight w:val="300" w:hRule="atLeast"/>
          <w:jc w:val="center"/>
        </w:trPr>
        <w:tc>
          <w:tcPr>
            <w:tcW w:w="2844"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121"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现有在读研究生人数</w:t>
            </w:r>
          </w:p>
        </w:tc>
        <w:tc>
          <w:tcPr>
            <w:tcW w:w="4922" w:type="dxa"/>
            <w:gridSpan w:val="7"/>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3</w:t>
            </w:r>
          </w:p>
        </w:tc>
      </w:tr>
      <w:tr>
        <w:tblPrEx>
          <w:tblLayout w:type="fixed"/>
          <w:tblCellMar>
            <w:top w:w="0" w:type="dxa"/>
            <w:left w:w="0" w:type="dxa"/>
            <w:bottom w:w="0" w:type="dxa"/>
            <w:right w:w="0" w:type="dxa"/>
          </w:tblCellMar>
        </w:tblPrEx>
        <w:trPr>
          <w:trHeight w:val="315" w:hRule="atLeast"/>
          <w:jc w:val="center"/>
        </w:trPr>
        <w:tc>
          <w:tcPr>
            <w:tcW w:w="4965"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是否本校在编教师，如为外聘注明工作单位</w:t>
            </w:r>
          </w:p>
        </w:tc>
        <w:tc>
          <w:tcPr>
            <w:tcW w:w="4922" w:type="dxa"/>
            <w:gridSpan w:val="7"/>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w:t>
            </w:r>
          </w:p>
        </w:tc>
      </w:tr>
      <w:tr>
        <w:tblPrEx>
          <w:tblLayout w:type="fixed"/>
          <w:tblCellMar>
            <w:top w:w="0" w:type="dxa"/>
            <w:left w:w="0" w:type="dxa"/>
            <w:bottom w:w="0" w:type="dxa"/>
            <w:right w:w="0" w:type="dxa"/>
          </w:tblCellMar>
        </w:tblPrEx>
        <w:trPr>
          <w:trHeight w:val="300"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教育经历（本科填起）</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学校</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1979.9</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1982.7</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浙江师范大学</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英语教育</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1993.7</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1996.7</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浙江师范大学</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涉外经济管理本科</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2000.10</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2003.6</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浙江师范大学</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英语教育硕士</w:t>
            </w:r>
          </w:p>
        </w:tc>
      </w:tr>
      <w:tr>
        <w:tblPrEx>
          <w:tblLayout w:type="fixed"/>
          <w:tblCellMar>
            <w:top w:w="0" w:type="dxa"/>
            <w:left w:w="0" w:type="dxa"/>
            <w:bottom w:w="0" w:type="dxa"/>
            <w:right w:w="0" w:type="dxa"/>
          </w:tblCellMar>
        </w:tblPrEx>
        <w:trPr>
          <w:trHeight w:val="315"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近3年来主要教学实践</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教学对象</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教学内容</w:t>
            </w:r>
          </w:p>
        </w:tc>
      </w:tr>
      <w:tr>
        <w:tblPrEx>
          <w:tblLayout w:type="fixed"/>
          <w:tblCellMar>
            <w:top w:w="0" w:type="dxa"/>
            <w:left w:w="0" w:type="dxa"/>
            <w:bottom w:w="0" w:type="dxa"/>
            <w:right w:w="0" w:type="dxa"/>
          </w:tblCellMar>
        </w:tblPrEx>
        <w:trPr>
          <w:trHeight w:val="337"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2015.09</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2017.06</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跨文化交际</w:t>
            </w:r>
          </w:p>
        </w:tc>
      </w:tr>
      <w:tr>
        <w:tblPrEx>
          <w:tblLayout w:type="fixed"/>
          <w:tblCellMar>
            <w:top w:w="0" w:type="dxa"/>
            <w:left w:w="0" w:type="dxa"/>
            <w:bottom w:w="0" w:type="dxa"/>
            <w:right w:w="0" w:type="dxa"/>
          </w:tblCellMar>
        </w:tblPrEx>
        <w:trPr>
          <w:trHeight w:val="315"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国外</w:t>
            </w:r>
            <w:r>
              <w:rPr>
                <w:rFonts w:hint="eastAsia" w:asciiTheme="minorEastAsia" w:hAnsiTheme="minorEastAsia" w:cstheme="minorEastAsia"/>
                <w:color w:val="000000" w:themeColor="text1"/>
                <w:sz w:val="18"/>
                <w:szCs w:val="18"/>
              </w:rPr>
              <w:t>学习/工作</w:t>
            </w:r>
            <w:r>
              <w:rPr>
                <w:rFonts w:asciiTheme="minorEastAsia" w:hAnsiTheme="minorEastAsia" w:cstheme="minorEastAsia"/>
                <w:color w:val="000000" w:themeColor="text1"/>
                <w:sz w:val="18"/>
                <w:szCs w:val="18"/>
              </w:rPr>
              <w:t>经历</w:t>
            </w:r>
          </w:p>
        </w:tc>
      </w:tr>
      <w:tr>
        <w:tblPrEx>
          <w:tblLayout w:type="fixed"/>
          <w:tblCellMar>
            <w:top w:w="0" w:type="dxa"/>
            <w:left w:w="0" w:type="dxa"/>
            <w:bottom w:w="0" w:type="dxa"/>
            <w:right w:w="0" w:type="dxa"/>
          </w:tblCellMar>
        </w:tblPrEx>
        <w:trPr>
          <w:trHeight w:val="285"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国家及学校（系）</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学习/教学内容</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2013.8</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2014.7</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美国明德学院蒙特雷国际研究学院</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访学</w:t>
            </w:r>
          </w:p>
        </w:tc>
      </w:tr>
      <w:tr>
        <w:tblPrEx>
          <w:tblLayout w:type="fixed"/>
          <w:tblCellMar>
            <w:top w:w="0" w:type="dxa"/>
            <w:left w:w="0" w:type="dxa"/>
            <w:bottom w:w="0" w:type="dxa"/>
            <w:right w:w="0" w:type="dxa"/>
          </w:tblCellMar>
        </w:tblPrEx>
        <w:trPr>
          <w:trHeight w:val="270" w:hRule="atLeast"/>
          <w:jc w:val="center"/>
        </w:trPr>
        <w:tc>
          <w:tcPr>
            <w:tcW w:w="1246"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2015.10</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2015.10</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罗马尼亚克鲁日孔院</w:t>
            </w:r>
          </w:p>
          <w:p>
            <w:pPr>
              <w:jc w:val="center"/>
              <w:rPr>
                <w:rFonts w:asciiTheme="minorEastAsia" w:hAnsiTheme="minorEastAsia" w:cstheme="minorEastAsia"/>
                <w:color w:val="000000" w:themeColor="text1"/>
                <w:sz w:val="18"/>
                <w:szCs w:val="18"/>
              </w:rPr>
            </w:pP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组织了全球化视野下的汉语国际教育国际研讨会</w:t>
            </w:r>
          </w:p>
          <w:p>
            <w:pPr>
              <w:jc w:val="center"/>
              <w:rPr>
                <w:rFonts w:asciiTheme="minorEastAsia" w:hAnsiTheme="minorEastAsia" w:cstheme="minorEastAsia"/>
                <w:color w:val="000000" w:themeColor="text1"/>
                <w:sz w:val="18"/>
                <w:szCs w:val="18"/>
              </w:rPr>
            </w:pPr>
          </w:p>
        </w:tc>
      </w:tr>
      <w:tr>
        <w:tblPrEx>
          <w:tblLayout w:type="fixed"/>
          <w:tblCellMar>
            <w:top w:w="0" w:type="dxa"/>
            <w:left w:w="0" w:type="dxa"/>
            <w:bottom w:w="0" w:type="dxa"/>
            <w:right w:w="0" w:type="dxa"/>
          </w:tblCellMar>
        </w:tblPrEx>
        <w:trPr>
          <w:trHeight w:val="351"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科研获奖</w:t>
            </w:r>
          </w:p>
        </w:tc>
      </w:tr>
      <w:tr>
        <w:tblPrEx>
          <w:tblLayout w:type="fixed"/>
          <w:tblCellMar>
            <w:top w:w="0" w:type="dxa"/>
            <w:left w:w="0" w:type="dxa"/>
            <w:bottom w:w="0" w:type="dxa"/>
            <w:right w:w="0" w:type="dxa"/>
          </w:tblCellMar>
        </w:tblPrEx>
        <w:trPr>
          <w:trHeight w:val="491"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获奖/论文著作成果名称</w:t>
            </w: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Layout w:type="fixed"/>
          <w:tblCellMar>
            <w:top w:w="0" w:type="dxa"/>
            <w:left w:w="0" w:type="dxa"/>
            <w:bottom w:w="0" w:type="dxa"/>
            <w:right w:w="0" w:type="dxa"/>
          </w:tblCellMar>
        </w:tblPrEx>
        <w:trPr>
          <w:trHeight w:val="469"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4770" w:type="dxa"/>
            <w:gridSpan w:val="6"/>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p>
        </w:tc>
      </w:tr>
      <w:tr>
        <w:tblPrEx>
          <w:tblLayout w:type="fixed"/>
          <w:tblCellMar>
            <w:top w:w="0" w:type="dxa"/>
            <w:left w:w="0" w:type="dxa"/>
            <w:bottom w:w="0" w:type="dxa"/>
            <w:right w:w="0" w:type="dxa"/>
          </w:tblCellMar>
        </w:tblPrEx>
        <w:trPr>
          <w:trHeight w:val="469"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论文著作（仅限核心期刊和专业期刊）</w:t>
            </w:r>
          </w:p>
        </w:tc>
      </w:tr>
      <w:tr>
        <w:tblPrEx>
          <w:tblLayout w:type="fixed"/>
          <w:tblCellMar>
            <w:top w:w="0" w:type="dxa"/>
            <w:left w:w="0" w:type="dxa"/>
            <w:bottom w:w="0" w:type="dxa"/>
            <w:right w:w="0" w:type="dxa"/>
          </w:tblCellMar>
        </w:tblPrEx>
        <w:trPr>
          <w:trHeight w:val="469"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55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Layout w:type="fixed"/>
          <w:tblCellMar>
            <w:top w:w="0" w:type="dxa"/>
            <w:left w:w="0" w:type="dxa"/>
            <w:bottom w:w="0" w:type="dxa"/>
            <w:right w:w="0" w:type="dxa"/>
          </w:tblCellMar>
        </w:tblPrEx>
        <w:trPr>
          <w:trHeight w:val="469"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运用构式语法阐述高中英语特殊语言现象</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教学月刊</w:t>
            </w:r>
          </w:p>
          <w:p>
            <w:pPr>
              <w:jc w:val="center"/>
              <w:rPr>
                <w:rFonts w:asciiTheme="minorEastAsia" w:hAnsiTheme="minorEastAsia" w:cstheme="minorEastAsia"/>
                <w:color w:val="000000" w:themeColor="text1"/>
                <w:sz w:val="18"/>
                <w:szCs w:val="18"/>
              </w:rPr>
            </w:pPr>
          </w:p>
        </w:tc>
        <w:tc>
          <w:tcPr>
            <w:tcW w:w="255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2015.3</w:t>
            </w:r>
          </w:p>
        </w:tc>
      </w:tr>
      <w:tr>
        <w:tblPrEx>
          <w:tblLayout w:type="fixed"/>
          <w:tblCellMar>
            <w:top w:w="0" w:type="dxa"/>
            <w:left w:w="0" w:type="dxa"/>
            <w:bottom w:w="0" w:type="dxa"/>
            <w:right w:w="0" w:type="dxa"/>
          </w:tblCellMar>
        </w:tblPrEx>
        <w:trPr>
          <w:trHeight w:val="125"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多模态视频话语分析对跨文化能力培养的启示（代表作）</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外语电化教学、</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ISSN1001-5795</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CN31-1036/G4(2015(3))</w:t>
            </w:r>
          </w:p>
        </w:tc>
        <w:tc>
          <w:tcPr>
            <w:tcW w:w="255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2015.5</w:t>
            </w:r>
          </w:p>
        </w:tc>
      </w:tr>
      <w:tr>
        <w:tblPrEx>
          <w:tblLayout w:type="fixed"/>
          <w:tblCellMar>
            <w:top w:w="0" w:type="dxa"/>
            <w:left w:w="0" w:type="dxa"/>
            <w:bottom w:w="0" w:type="dxa"/>
            <w:right w:w="0" w:type="dxa"/>
          </w:tblCellMar>
        </w:tblPrEx>
        <w:trPr>
          <w:trHeight w:val="125"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w:t>
            </w:r>
            <w:r>
              <w:rPr>
                <w:rFonts w:hint="eastAsia" w:asciiTheme="minorEastAsia" w:hAnsiTheme="minorEastAsia" w:cstheme="minorEastAsia"/>
                <w:color w:val="000000" w:themeColor="text1"/>
                <w:sz w:val="18"/>
                <w:szCs w:val="18"/>
              </w:rPr>
              <w:t>学区（房）</w:t>
            </w:r>
            <w:r>
              <w:rPr>
                <w:rFonts w:asciiTheme="minorEastAsia" w:hAnsiTheme="minorEastAsia" w:cstheme="minorEastAsia"/>
                <w:color w:val="000000" w:themeColor="text1"/>
                <w:sz w:val="18"/>
                <w:szCs w:val="18"/>
              </w:rPr>
              <w:t>”</w:t>
            </w:r>
            <w:r>
              <w:rPr>
                <w:rFonts w:hint="eastAsia" w:asciiTheme="minorEastAsia" w:hAnsiTheme="minorEastAsia" w:cstheme="minorEastAsia"/>
                <w:color w:val="000000" w:themeColor="text1"/>
                <w:sz w:val="18"/>
                <w:szCs w:val="18"/>
              </w:rPr>
              <w:t>英译的多维度考量（代表作）</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外语研究、ISSN1005-7242</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CN32-1001/H(2015年（3）)</w:t>
            </w:r>
          </w:p>
        </w:tc>
        <w:tc>
          <w:tcPr>
            <w:tcW w:w="255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CSSCI（扩展）</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2015.6</w:t>
            </w:r>
          </w:p>
        </w:tc>
      </w:tr>
      <w:tr>
        <w:tblPrEx>
          <w:tblLayout w:type="fixed"/>
          <w:tblCellMar>
            <w:top w:w="0" w:type="dxa"/>
            <w:left w:w="0" w:type="dxa"/>
            <w:bottom w:w="0" w:type="dxa"/>
            <w:right w:w="0" w:type="dxa"/>
          </w:tblCellMar>
        </w:tblPrEx>
        <w:trPr>
          <w:trHeight w:val="125"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参加汉语国际教育学术会议情况</w:t>
            </w:r>
          </w:p>
        </w:tc>
      </w:tr>
      <w:tr>
        <w:tblPrEx>
          <w:tblLayout w:type="fixed"/>
          <w:tblCellMar>
            <w:top w:w="0" w:type="dxa"/>
            <w:left w:w="0" w:type="dxa"/>
            <w:bottom w:w="0" w:type="dxa"/>
            <w:right w:w="0" w:type="dxa"/>
          </w:tblCellMar>
        </w:tblPrEx>
        <w:trPr>
          <w:trHeight w:val="188"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459"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Layout w:type="fixed"/>
          <w:tblCellMar>
            <w:top w:w="0" w:type="dxa"/>
            <w:left w:w="0" w:type="dxa"/>
            <w:bottom w:w="0" w:type="dxa"/>
            <w:right w:w="0" w:type="dxa"/>
          </w:tblCellMar>
        </w:tblPrEx>
        <w:trPr>
          <w:trHeight w:val="187" w:hRule="atLeast"/>
          <w:jc w:val="center"/>
        </w:trPr>
        <w:tc>
          <w:tcPr>
            <w:tcW w:w="2844" w:type="dxa"/>
            <w:gridSpan w:val="4"/>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全球化时代的汉语国际教育</w:t>
            </w:r>
          </w:p>
        </w:tc>
        <w:tc>
          <w:tcPr>
            <w:tcW w:w="2220" w:type="dxa"/>
            <w:gridSpan w:val="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w:t>
            </w:r>
          </w:p>
        </w:tc>
        <w:tc>
          <w:tcPr>
            <w:tcW w:w="1459"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罗德孔子学院建设的问题与对策</w:t>
            </w:r>
          </w:p>
        </w:tc>
        <w:tc>
          <w:tcPr>
            <w:tcW w:w="109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罗马尼亚巴雅依·波什卡大学孔子学院和浙江科技学院应用语言学中心</w:t>
            </w:r>
          </w:p>
        </w:tc>
        <w:tc>
          <w:tcPr>
            <w:tcW w:w="120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2015.10</w:t>
            </w:r>
          </w:p>
        </w:tc>
        <w:tc>
          <w:tcPr>
            <w:tcW w:w="1073"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罗马尼亚克鲁日巴雅依·波什卡大学</w:t>
            </w:r>
          </w:p>
        </w:tc>
      </w:tr>
      <w:tr>
        <w:tblPrEx>
          <w:tblLayout w:type="fixed"/>
          <w:tblCellMar>
            <w:top w:w="0" w:type="dxa"/>
            <w:left w:w="0" w:type="dxa"/>
            <w:bottom w:w="0" w:type="dxa"/>
            <w:right w:w="0" w:type="dxa"/>
          </w:tblCellMar>
        </w:tblPrEx>
        <w:trPr>
          <w:trHeight w:val="187" w:hRule="atLeast"/>
          <w:jc w:val="center"/>
        </w:trPr>
        <w:tc>
          <w:tcPr>
            <w:tcW w:w="9887" w:type="dxa"/>
            <w:gridSpan w:val="13"/>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5"/>
        <w:gridCol w:w="546"/>
        <w:gridCol w:w="918"/>
        <w:gridCol w:w="1287"/>
        <w:gridCol w:w="948"/>
        <w:gridCol w:w="21"/>
        <w:gridCol w:w="388"/>
        <w:gridCol w:w="1170"/>
        <w:gridCol w:w="1222"/>
        <w:gridCol w:w="1069"/>
        <w:gridCol w:w="1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周毅</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性别</w:t>
            </w:r>
          </w:p>
        </w:tc>
        <w:tc>
          <w:tcPr>
            <w:tcW w:w="128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出生日期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1965年7月</w:t>
            </w:r>
          </w:p>
        </w:tc>
        <w:tc>
          <w:tcPr>
            <w:tcW w:w="10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最终学位</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职称</w:t>
            </w:r>
          </w:p>
        </w:tc>
        <w:tc>
          <w:tcPr>
            <w:tcW w:w="198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28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任现职</w:t>
            </w:r>
          </w:p>
        </w:tc>
        <w:tc>
          <w:tcPr>
            <w:tcW w:w="1357"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2年</w:t>
            </w:r>
          </w:p>
        </w:tc>
        <w:tc>
          <w:tcPr>
            <w:tcW w:w="239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联系方式</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手机：</w:t>
            </w:r>
            <w:r>
              <w:rPr>
                <w:rFonts w:hint="eastAsia" w:asciiTheme="minorEastAsia" w:hAnsiTheme="minorEastAsia" w:cstheme="minorEastAsia"/>
                <w:color w:val="000000" w:themeColor="text1"/>
                <w:sz w:val="18"/>
                <w:szCs w:val="18"/>
              </w:rPr>
              <w:t>13186986004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8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8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7"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Email:</w:t>
            </w:r>
            <w:r>
              <w:rPr>
                <w:rFonts w:hint="eastAsia" w:asciiTheme="minorEastAsia" w:hAnsiTheme="minorEastAsia" w:cstheme="minorEastAsia"/>
                <w:color w:val="000000" w:themeColor="text1"/>
                <w:sz w:val="18"/>
                <w:szCs w:val="18"/>
              </w:rPr>
              <w:t>zhouyi0147@163.com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专业特长</w:t>
            </w:r>
          </w:p>
        </w:tc>
        <w:tc>
          <w:tcPr>
            <w:tcW w:w="7178"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语用学、汉语语篇教学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任课类别（必修、选修）</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必修</w:t>
            </w:r>
          </w:p>
        </w:tc>
        <w:tc>
          <w:tcPr>
            <w:tcW w:w="27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能否用外语授课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70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指导研究生情况</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已获学位研究生人数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70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现有在读研究生人数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是否本校在编教师，如为外聘注明工作单位</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1983</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1987</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浙江师范大学中文系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2001</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浙江大学人文学院</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2009</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2012</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北京语言大学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教学对象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2015.9</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2016.7</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 研究生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汉语作为第二语言教学；语用学；中级汉语综合1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2016.9</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2017.7</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 研究生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汉语作为第二语言教学；中级汉语综合1、2；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2017.9</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2018.5</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 研究生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汉语作为第二语言教学；中级汉语综合1、2；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国外</w:t>
            </w:r>
            <w:r>
              <w:rPr>
                <w:rFonts w:hint="eastAsia" w:asciiTheme="minorEastAsia" w:hAnsiTheme="minorEastAsia" w:cstheme="minorEastAsia"/>
                <w:color w:val="000000" w:themeColor="text1"/>
                <w:sz w:val="18"/>
                <w:szCs w:val="18"/>
              </w:rPr>
              <w:t>学习/工作</w:t>
            </w:r>
            <w:r>
              <w:rPr>
                <w:rFonts w:asciiTheme="minorEastAsia" w:hAnsiTheme="minorEastAsia" w:cstheme="minorEastAsia"/>
                <w:color w:val="000000" w:themeColor="text1"/>
                <w:sz w:val="18"/>
                <w:szCs w:val="18"/>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国家及学校（系）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46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获奖/论文著作成果名称</w:t>
            </w: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503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谐音联想国画与汉语二语谐音教学</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汉语学习</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2016</w:t>
            </w:r>
            <w:r>
              <w:rPr>
                <w:rFonts w:hint="eastAsia" w:asciiTheme="minorEastAsia" w:hAnsiTheme="minorEastAsia" w:cstheme="minorEastAsia"/>
                <w:color w:val="000000" w:themeColor="text1"/>
                <w:sz w:val="18"/>
                <w:szCs w:val="18"/>
              </w:rPr>
              <w:t>年第</w:t>
            </w:r>
            <w:r>
              <w:rPr>
                <w:rFonts w:asciiTheme="minorEastAsia" w:hAnsiTheme="minorEastAsia" w:cstheme="minorEastAsia"/>
                <w:color w:val="000000" w:themeColor="text1"/>
                <w:sz w:val="18"/>
                <w:szCs w:val="18"/>
              </w:rPr>
              <w:t>6</w:t>
            </w:r>
            <w:r>
              <w:rPr>
                <w:rFonts w:hint="eastAsia" w:asciiTheme="minorEastAsia" w:hAnsiTheme="minorEastAsia" w:cstheme="minorEastAsia"/>
                <w:color w:val="000000" w:themeColor="text1"/>
                <w:sz w:val="18"/>
                <w:szCs w:val="18"/>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政务新媒体多模态话语的“图—语”互文</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中国广播电视学刊</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2016年第6期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山水画“像”、“话”的道释意</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浙江社会科学</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2015年第8期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社会符号学视野下文人画语篇结构及成因</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浙江学刊</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2015年第3期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国际传播背景下的艺术类院校汉语国际教育课程设置刍议</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浙江传媒学院学报</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专业期刊</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2015年第4期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全球化时代的汉语国际教育</w:t>
            </w:r>
          </w:p>
        </w:tc>
        <w:tc>
          <w:tcPr>
            <w:tcW w:w="22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国画谐音和汉语作为第二语言的教学</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罗马尼亚巴雅依·波什卡大学孔子学院和浙江科技学院应用语言学中心</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2015年10月7-9日</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罗马尼亚克鲁日巴雅依·波什卡大学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18"/>
        <w:gridCol w:w="537"/>
        <w:gridCol w:w="903"/>
        <w:gridCol w:w="1267"/>
        <w:gridCol w:w="933"/>
        <w:gridCol w:w="21"/>
        <w:gridCol w:w="382"/>
        <w:gridCol w:w="1152"/>
        <w:gridCol w:w="1061"/>
        <w:gridCol w:w="142"/>
        <w:gridCol w:w="1052"/>
        <w:gridCol w:w="7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胡云晚</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3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1973年7月</w:t>
            </w:r>
          </w:p>
        </w:tc>
        <w:tc>
          <w:tcPr>
            <w:tcW w:w="11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文学博士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0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19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26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36"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55"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手机：18868711020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0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6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36"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55"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Email:yunwanhu@163.com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22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语言学及应用语言学、汉语语法、方言、汉语国际教育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665"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665"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886"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1993.9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1997.6</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湖南师范大学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1999.9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2002.6</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广西师范大学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2005.12</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中山大学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2016.7</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2015级汉研究生</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2017.7</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2016级汉研究生</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2017.9</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2018.7</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2017级汉研究生</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汨罗吊祭类韵文中的楚辞体语气助词“兮”</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南京大学出版社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省级</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0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2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0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4"/>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18"/>
        <w:gridCol w:w="537"/>
        <w:gridCol w:w="903"/>
        <w:gridCol w:w="1267"/>
        <w:gridCol w:w="933"/>
        <w:gridCol w:w="21"/>
        <w:gridCol w:w="382"/>
        <w:gridCol w:w="1152"/>
        <w:gridCol w:w="1061"/>
        <w:gridCol w:w="142"/>
        <w:gridCol w:w="1052"/>
        <w:gridCol w:w="7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5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黄建滨</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26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3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1955.5</w:t>
            </w:r>
          </w:p>
        </w:tc>
        <w:tc>
          <w:tcPr>
            <w:tcW w:w="113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0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19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26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36"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55"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手机：13185030966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0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6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36"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55"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Email:jianbinhuang32@126.com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22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教育心理学、英语教育、汉语教学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37"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665"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665"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886"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500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  浙江大学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1978</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1982</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四川大学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1985</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1986</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重庆大学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加拿大渥太华大学</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第二语言研究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8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汉语国际教育留学生</w:t>
            </w:r>
          </w:p>
        </w:tc>
        <w:tc>
          <w:tcPr>
            <w:tcW w:w="240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外语教育心理学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w:t>
            </w: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加拿大渥太华大学</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第二语言研究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958"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瓦罗之《华语官话语法》编写原则与编写特点探究</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国际汉语学报</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论语言学习中的自我调节</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外语教学</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国别化汉语教材研究——以《体验汉语》泰国版为例</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重庆国别化教材研讨会论文集</w:t>
            </w:r>
          </w:p>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重庆大学出版社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老舍参编灵格风《言语声片》教材的编写原则探讨</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国际汉语教育</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老舍与早期国外的汉语教学</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国际汉语学报</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中国文化阅读：1800单词话中国</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中国文化阅读：2400单词话中国</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中国文化阅读：浙江分册</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英语词汇与词汇教学研究</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英语教材研究</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英语语言与翻译研究</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中小学英语教学研究方法</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中小学英语教与学</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中小学英语课程标准分析</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中国文化阅读：4500单词话中国</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color w:val="000000" w:themeColor="text1"/>
                <w:sz w:val="18"/>
                <w:szCs w:val="18"/>
              </w:rPr>
              <w:t>中国文化阅读：35</w:t>
            </w:r>
            <w:r>
              <w:rPr>
                <w:color w:val="000000" w:themeColor="text1"/>
                <w:sz w:val="18"/>
                <w:szCs w:val="18"/>
              </w:rPr>
              <w:t>00单词话中国</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color w:val="000000" w:themeColor="text1"/>
                <w:sz w:val="18"/>
                <w:szCs w:val="18"/>
              </w:rPr>
              <w:t>浙江大学出版社</w:t>
            </w:r>
          </w:p>
        </w:tc>
        <w:tc>
          <w:tcPr>
            <w:tcW w:w="2758" w:type="dxa"/>
            <w:gridSpan w:val="5"/>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226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0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2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66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国别化教材研讨会</w:t>
            </w:r>
          </w:p>
        </w:tc>
        <w:tc>
          <w:tcPr>
            <w:tcW w:w="22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分组报告</w:t>
            </w:r>
          </w:p>
        </w:tc>
        <w:tc>
          <w:tcPr>
            <w:tcW w:w="155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国别化汉语教材研究</w:t>
            </w:r>
            <w:r>
              <w:rPr>
                <w:color w:val="000000" w:themeColor="text1"/>
                <w:sz w:val="18"/>
                <w:szCs w:val="18"/>
              </w:rPr>
              <w:t>——</w:t>
            </w:r>
            <w:r>
              <w:rPr>
                <w:rFonts w:hint="eastAsia"/>
                <w:color w:val="000000" w:themeColor="text1"/>
                <w:sz w:val="18"/>
                <w:szCs w:val="18"/>
              </w:rPr>
              <w:t>以《体验汉语》泰国版为例</w:t>
            </w:r>
          </w:p>
        </w:tc>
        <w:tc>
          <w:tcPr>
            <w:tcW w:w="120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重庆大学</w:t>
            </w:r>
          </w:p>
        </w:tc>
        <w:tc>
          <w:tcPr>
            <w:tcW w:w="10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2015年5月</w:t>
            </w:r>
          </w:p>
        </w:tc>
        <w:tc>
          <w:tcPr>
            <w:tcW w:w="12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 w:val="18"/>
                <w:szCs w:val="18"/>
              </w:rPr>
              <w:t>重庆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4"/>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p>
      <w:pPr>
        <w:spacing w:line="240" w:lineRule="exact"/>
        <w:rPr>
          <w:rFonts w:ascii="仿宋_GB2312" w:hAnsi="Calibri" w:eastAsia="仿宋_GB2312" w:cs="黑体"/>
          <w:color w:val="000000" w:themeColor="text1"/>
          <w:sz w:val="18"/>
          <w:szCs w:val="18"/>
        </w:rPr>
      </w:pP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083"/>
        <w:gridCol w:w="1121"/>
        <w:gridCol w:w="949"/>
        <w:gridCol w:w="180"/>
        <w:gridCol w:w="420"/>
        <w:gridCol w:w="979"/>
        <w:gridCol w:w="746"/>
        <w:gridCol w:w="1545"/>
        <w:gridCol w:w="75"/>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叶晗</w:t>
            </w:r>
          </w:p>
        </w:tc>
        <w:tc>
          <w:tcPr>
            <w:tcW w:w="108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54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172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1967.02</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99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154"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研究员</w:t>
            </w:r>
          </w:p>
        </w:tc>
        <w:tc>
          <w:tcPr>
            <w:tcW w:w="1121"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54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人文与国际教育学院院长、书记</w:t>
            </w:r>
          </w:p>
        </w:tc>
        <w:tc>
          <w:tcPr>
            <w:tcW w:w="1725"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手机：15356815369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54"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2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4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725"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Email:hzyehan@126.com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01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文化学、文化遗产保护、当代中国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25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当代中国（必修）</w:t>
            </w:r>
          </w:p>
        </w:tc>
        <w:tc>
          <w:tcPr>
            <w:tcW w:w="214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874"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25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76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874"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76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5124"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76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1985</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1989</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杭州大学</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中国现当代文学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留学生汉语国际教育专业硕士</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当代中国专题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《世界遗产保护启示录》</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全国优秀社会科学普及作品</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基于中德合作本科应用型人才培养二十年探索与实践</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国家教学成果二等奖、浙江省教学成果一等奖</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《百部文化名著导读》</w:t>
            </w:r>
          </w:p>
        </w:tc>
        <w:tc>
          <w:tcPr>
            <w:tcW w:w="43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浙江省哲学社会科学优秀成果三等奖</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2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61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74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54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74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4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b/>
          <w:color w:val="000000" w:themeColor="text1"/>
          <w:sz w:val="18"/>
          <w:szCs w:val="18"/>
        </w:rPr>
      </w:pPr>
      <w:r>
        <w:rPr>
          <w:rFonts w:hint="eastAsia" w:ascii="仿宋_GB2312" w:hAnsi="Calibri" w:eastAsia="仿宋_GB2312" w:cs="黑体"/>
          <w:b/>
          <w:color w:val="000000" w:themeColor="text1"/>
          <w:sz w:val="18"/>
          <w:szCs w:val="18"/>
        </w:rPr>
        <w:br w:type="page"/>
      </w:r>
    </w:p>
    <w:p>
      <w:pPr>
        <w:spacing w:line="240" w:lineRule="exact"/>
        <w:rPr>
          <w:rFonts w:ascii="仿宋_GB2312" w:hAnsi="Calibri" w:eastAsia="仿宋_GB2312" w:cs="黑体"/>
          <w:color w:val="000000" w:themeColor="text1"/>
          <w:sz w:val="18"/>
          <w:szCs w:val="18"/>
        </w:rPr>
      </w:pPr>
    </w:p>
    <w:tbl>
      <w:tblPr>
        <w:tblStyle w:val="30"/>
        <w:tblW w:w="9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21"/>
        <w:gridCol w:w="8"/>
        <w:gridCol w:w="540"/>
        <w:gridCol w:w="7"/>
        <w:gridCol w:w="924"/>
        <w:gridCol w:w="257"/>
        <w:gridCol w:w="1016"/>
        <w:gridCol w:w="22"/>
        <w:gridCol w:w="927"/>
        <w:gridCol w:w="21"/>
        <w:gridCol w:w="6"/>
        <w:gridCol w:w="22"/>
        <w:gridCol w:w="360"/>
        <w:gridCol w:w="30"/>
        <w:gridCol w:w="1139"/>
        <w:gridCol w:w="38"/>
        <w:gridCol w:w="1040"/>
        <w:gridCol w:w="144"/>
        <w:gridCol w:w="45"/>
        <w:gridCol w:w="1024"/>
        <w:gridCol w:w="52"/>
        <w:gridCol w:w="1021"/>
        <w:gridCol w:w="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赵卫东</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29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6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40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1970.7</w:t>
            </w:r>
          </w:p>
        </w:tc>
        <w:tc>
          <w:tcPr>
            <w:tcW w:w="10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3"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000" w:type="dxa"/>
            <w:gridSpan w:val="5"/>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295"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66"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2406" w:type="dxa"/>
            <w:gridSpan w:val="5"/>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手机：15967182806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00" w:type="dxa"/>
            <w:gridSpan w:val="5"/>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95"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66"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406" w:type="dxa"/>
            <w:gridSpan w:val="5"/>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Email:zjuzwd@126.com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227" w:type="dxa"/>
            <w:gridSpan w:val="1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中国现当代文学研究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27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79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723"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27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56"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723"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1"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56"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94" w:type="dxa"/>
            <w:gridSpan w:val="13"/>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56"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1988</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1992</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河南大学</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1992</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1995</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河南大学</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现当代文学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2001</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现当代文学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2006</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现当代文学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汉语国际教育研究生</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平时指导和论文撰写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汉语国际教育来华留学研究生</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中国文化经典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4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5067"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18"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当代文学研究的“文献学转向”是个伪命题</w:t>
            </w: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《学术月刊》</w:t>
            </w:r>
          </w:p>
          <w:p>
            <w:pPr>
              <w:jc w:val="center"/>
              <w:rPr>
                <w:rFonts w:asciiTheme="minorEastAsia" w:hAnsiTheme="minorEastAsia" w:cstheme="minorEastAsia"/>
                <w:color w:val="000000" w:themeColor="text1"/>
                <w:sz w:val="18"/>
                <w:szCs w:val="18"/>
              </w:rPr>
            </w:pPr>
          </w:p>
        </w:tc>
        <w:tc>
          <w:tcPr>
            <w:tcW w:w="2818"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w:t>
            </w:r>
          </w:p>
          <w:p>
            <w:pPr>
              <w:jc w:val="center"/>
              <w:rPr>
                <w:rFonts w:asciiTheme="minorEastAsia" w:hAnsiTheme="minorEastAsia" w:cstheme="minorEastAsia"/>
                <w:color w:val="000000" w:themeColor="text1"/>
                <w:sz w:val="18"/>
                <w:szCs w:val="18"/>
              </w:rPr>
            </w:pP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2017年10月</w:t>
            </w:r>
          </w:p>
          <w:p>
            <w:pPr>
              <w:jc w:val="center"/>
              <w:rPr>
                <w:rFonts w:asciiTheme="minorEastAsia" w:hAnsiTheme="minorEastAsia" w:cstheme="minorEastAsia"/>
                <w:color w:val="000000" w:themeColor="text1"/>
                <w:sz w:val="18"/>
                <w:szCs w:val="18"/>
              </w:rPr>
            </w:pP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略论当代文学的版本问题及其处理原则</w:t>
            </w: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《汉语言文学研究》</w:t>
            </w:r>
          </w:p>
        </w:tc>
        <w:tc>
          <w:tcPr>
            <w:tcW w:w="2818"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人大复印</w:t>
            </w: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2016年9月</w:t>
            </w:r>
          </w:p>
          <w:p>
            <w:pPr>
              <w:jc w:val="center"/>
              <w:rPr>
                <w:rFonts w:asciiTheme="minorEastAsia" w:hAnsiTheme="minorEastAsia" w:cstheme="minorEastAsia"/>
                <w:color w:val="000000" w:themeColor="text1"/>
                <w:sz w:val="18"/>
                <w:szCs w:val="18"/>
              </w:rPr>
            </w:pP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九十年代长篇小说研究资料</w:t>
            </w: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百花洲文艺出版社</w:t>
            </w:r>
          </w:p>
        </w:tc>
        <w:tc>
          <w:tcPr>
            <w:tcW w:w="2818"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2016年9月</w:t>
            </w:r>
          </w:p>
          <w:p>
            <w:pPr>
              <w:jc w:val="center"/>
              <w:rPr>
                <w:rFonts w:asciiTheme="minorEastAsia" w:hAnsiTheme="minorEastAsia" w:cstheme="minorEastAsia"/>
                <w:color w:val="000000" w:themeColor="text1"/>
                <w:sz w:val="18"/>
                <w:szCs w:val="18"/>
              </w:rPr>
            </w:pP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950" w:type="dxa"/>
            <w:gridSpan w:val="2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7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49"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2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950" w:type="dxa"/>
            <w:gridSpan w:val="24"/>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29" w:hRule="atLeast"/>
          <w:jc w:val="center"/>
        </w:trPr>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仿宋_GB2312" w:hAnsi="Calibri" w:eastAsia="仿宋_GB2312" w:cs="黑体"/>
                <w:color w:val="000000" w:themeColor="text1"/>
                <w:sz w:val="18"/>
                <w:szCs w:val="18"/>
              </w:rPr>
              <w:br w:type="page"/>
            </w:r>
            <w:r>
              <w:rPr>
                <w:rFonts w:hint="eastAsia" w:asciiTheme="minorEastAsia" w:hAnsiTheme="minorEastAsia" w:cstheme="minorEastAsia"/>
                <w:color w:val="000000" w:themeColor="text1"/>
                <w:sz w:val="18"/>
                <w:szCs w:val="18"/>
              </w:rPr>
              <w:t>姓名</w:t>
            </w:r>
          </w:p>
        </w:tc>
        <w:tc>
          <w:tcPr>
            <w:tcW w:w="106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宋体" w:hAnsi="宋体"/>
                <w:color w:val="000000" w:themeColor="text1"/>
                <w:sz w:val="18"/>
                <w:szCs w:val="18"/>
              </w:rPr>
              <w:t>张嵎</w:t>
            </w:r>
          </w:p>
        </w:tc>
        <w:tc>
          <w:tcPr>
            <w:tcW w:w="118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5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1963.1</w:t>
            </w:r>
          </w:p>
        </w:tc>
        <w:tc>
          <w:tcPr>
            <w:tcW w:w="1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cantSplit/>
          <w:trHeight w:val="360" w:hRule="atLeast"/>
          <w:jc w:val="center"/>
        </w:trPr>
        <w:tc>
          <w:tcPr>
            <w:tcW w:w="723"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57"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01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教师</w:t>
            </w:r>
          </w:p>
        </w:tc>
        <w:tc>
          <w:tcPr>
            <w:tcW w:w="2391" w:type="dxa"/>
            <w:gridSpan w:val="5"/>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w:t>
            </w:r>
            <w:r>
              <w:rPr>
                <w:rFonts w:hint="eastAsia" w:ascii="宋体" w:hAnsi="宋体"/>
                <w:color w:val="000000" w:themeColor="text1"/>
                <w:sz w:val="18"/>
                <w:szCs w:val="18"/>
              </w:rPr>
              <w:t>13606549126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cantSplit/>
          <w:trHeight w:val="315" w:hRule="atLeast"/>
          <w:jc w:val="center"/>
        </w:trPr>
        <w:tc>
          <w:tcPr>
            <w:tcW w:w="72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7"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1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1" w:type="dxa"/>
            <w:gridSpan w:val="5"/>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Email:zhnie@126.com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37"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907" w:type="dxa"/>
            <w:gridSpan w:val="1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论语研究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37"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9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79"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cantSplit/>
          <w:trHeight w:val="300" w:hRule="atLeast"/>
          <w:jc w:val="center"/>
        </w:trPr>
        <w:tc>
          <w:tcPr>
            <w:tcW w:w="2980" w:type="dxa"/>
            <w:gridSpan w:val="7"/>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9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1"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cantSplit/>
          <w:trHeight w:val="315" w:hRule="atLeast"/>
          <w:jc w:val="center"/>
        </w:trPr>
        <w:tc>
          <w:tcPr>
            <w:tcW w:w="2980" w:type="dxa"/>
            <w:gridSpan w:val="7"/>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1"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4966" w:type="dxa"/>
            <w:gridSpan w:val="11"/>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1"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00"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1978</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1981</w:t>
            </w: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舟山师范专科学校中文科</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1985</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1987</w:t>
            </w: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浙江教育学院</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90"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21"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8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621"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汉语国际教育专业硕士</w:t>
            </w:r>
          </w:p>
        </w:tc>
        <w:tc>
          <w:tcPr>
            <w:tcW w:w="228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中国思想文化、国学经典导读（校选课）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85"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73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51"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91"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4765"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0"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先秦“君子”意义的流变</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哲学与文化</w:t>
            </w:r>
          </w:p>
        </w:tc>
        <w:tc>
          <w:tcPr>
            <w:tcW w:w="2800" w:type="dxa"/>
            <w:gridSpan w:val="9"/>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一级刊物</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2017年02期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“哲学”“思想”抑或“文化基质”——先秦诸子的意义指向</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江海学刊</w:t>
            </w:r>
          </w:p>
        </w:tc>
        <w:tc>
          <w:tcPr>
            <w:tcW w:w="2800" w:type="dxa"/>
            <w:gridSpan w:val="9"/>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CSSCI</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2017年02期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先秦名学发展的两条路向</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哲学研究</w:t>
            </w:r>
          </w:p>
        </w:tc>
        <w:tc>
          <w:tcPr>
            <w:tcW w:w="2800" w:type="dxa"/>
            <w:gridSpan w:val="9"/>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权威刊物</w:t>
            </w:r>
          </w:p>
        </w:tc>
        <w:tc>
          <w:tcPr>
            <w:tcW w:w="2142"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kern w:val="0"/>
                <w:sz w:val="18"/>
                <w:szCs w:val="18"/>
              </w:rPr>
              <w:t>2018年第2期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9887" w:type="dxa"/>
            <w:gridSpan w:val="2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8"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9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7" w:hRule="atLeast"/>
          <w:jc w:val="center"/>
        </w:trPr>
        <w:tc>
          <w:tcPr>
            <w:tcW w:w="2980"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8"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2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6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7" w:hRule="atLeast"/>
          <w:jc w:val="center"/>
        </w:trPr>
        <w:tc>
          <w:tcPr>
            <w:tcW w:w="9887" w:type="dxa"/>
            <w:gridSpan w:val="2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25"/>
        <w:gridCol w:w="545"/>
        <w:gridCol w:w="1203"/>
        <w:gridCol w:w="1003"/>
        <w:gridCol w:w="948"/>
        <w:gridCol w:w="21"/>
        <w:gridCol w:w="389"/>
        <w:gridCol w:w="1169"/>
        <w:gridCol w:w="1107"/>
        <w:gridCol w:w="118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李华</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1973．12．09</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19"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73"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003"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无</w:t>
            </w:r>
          </w:p>
        </w:tc>
        <w:tc>
          <w:tcPr>
            <w:tcW w:w="2276"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手机：18858107411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19"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3"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0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6"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Email:lihuacn@126.com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89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color w:val="000000" w:themeColor="text1"/>
                <w:szCs w:val="21"/>
              </w:rPr>
              <w:t>二语教学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6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992"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992"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4"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1992</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1996</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河北大学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2006</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华北电力大学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现在</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留学生</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初级汉语听说1、2，中国概况（英文授课），中国概况（中文授课），初级汉语口语1、2，商务汉语写作、商务案例等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美国亚利桑那大学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访问学者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6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6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1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第十八届浙江省语言学年会暨浙黔语言学论坛</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浙江省、贵州省语言学会</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2016.10</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湖州：湖州师范学院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r>
              <w:rPr>
                <w:rFonts w:hint="eastAsia" w:asciiTheme="minorEastAsia" w:hAnsiTheme="minorEastAsia" w:eastAsiaTheme="minorEastAsia" w:cstheme="minorEastAsia"/>
                <w:color w:val="000000" w:themeColor="text1"/>
                <w:kern w:val="2"/>
                <w:sz w:val="18"/>
                <w:szCs w:val="18"/>
              </w:rPr>
              <w:t>第二届政务新媒体高峰论坛</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p>
        </w:tc>
        <w:tc>
          <w:tcPr>
            <w:tcW w:w="1107" w:type="dxa"/>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r>
              <w:rPr>
                <w:rFonts w:hint="eastAsia" w:asciiTheme="minorEastAsia" w:hAnsiTheme="minorEastAsia" w:eastAsiaTheme="minorEastAsia" w:cstheme="minorEastAsia"/>
                <w:color w:val="000000" w:themeColor="text1"/>
                <w:kern w:val="2"/>
                <w:sz w:val="18"/>
                <w:szCs w:val="18"/>
              </w:rPr>
              <w:t>浙江科技学院</w:t>
            </w:r>
          </w:p>
        </w:tc>
        <w:tc>
          <w:tcPr>
            <w:tcW w:w="1185" w:type="dxa"/>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r>
              <w:rPr>
                <w:rFonts w:hint="eastAsia" w:asciiTheme="minorEastAsia" w:hAnsiTheme="minorEastAsia" w:eastAsiaTheme="minorEastAsia" w:cstheme="minorEastAsia"/>
                <w:color w:val="000000" w:themeColor="text1"/>
                <w:kern w:val="2"/>
                <w:sz w:val="18"/>
                <w:szCs w:val="18"/>
              </w:rPr>
              <w:t>2016.04</w:t>
            </w:r>
          </w:p>
        </w:tc>
        <w:tc>
          <w:tcPr>
            <w:tcW w:w="1073" w:type="dxa"/>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r>
              <w:rPr>
                <w:rFonts w:hint="eastAsia" w:asciiTheme="minorEastAsia" w:hAnsiTheme="minorEastAsia" w:eastAsiaTheme="minorEastAsia" w:cstheme="minorEastAsia"/>
                <w:color w:val="000000" w:themeColor="text1"/>
                <w:kern w:val="2"/>
                <w:sz w:val="18"/>
                <w:szCs w:val="18"/>
              </w:rPr>
              <w:t>杭州</w:t>
            </w:r>
            <w:r>
              <w:rPr>
                <w:rFonts w:hint="eastAsia" w:asciiTheme="minorEastAsia" w:hAnsiTheme="minorEastAsia" w:eastAsiaTheme="minorEastAsia" w:cstheme="minorEastAsia"/>
                <w:color w:val="000000" w:themeColor="text1"/>
                <w:sz w:val="18"/>
                <w:szCs w:val="18"/>
              </w:rPr>
              <w:t>：浙江科技学院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2"/>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32"/>
          <w:szCs w:val="32"/>
        </w:rPr>
      </w:pPr>
      <w:r>
        <w:rPr>
          <w:rFonts w:ascii="仿宋_GB2312" w:hAnsi="Calibri" w:eastAsia="仿宋_GB2312" w:cs="黑体"/>
          <w:color w:val="000000" w:themeColor="text1"/>
          <w:sz w:val="32"/>
          <w:szCs w:val="32"/>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188"/>
        <w:gridCol w:w="1016"/>
        <w:gridCol w:w="949"/>
        <w:gridCol w:w="21"/>
        <w:gridCol w:w="388"/>
        <w:gridCol w:w="1170"/>
        <w:gridCol w:w="1078"/>
        <w:gridCol w:w="144"/>
        <w:gridCol w:w="1069"/>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陶绍清</w:t>
            </w:r>
          </w:p>
        </w:tc>
        <w:tc>
          <w:tcPr>
            <w:tcW w:w="118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1971.9</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5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教授</w:t>
            </w:r>
          </w:p>
        </w:tc>
        <w:tc>
          <w:tcPr>
            <w:tcW w:w="101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教师</w:t>
            </w:r>
          </w:p>
        </w:tc>
        <w:tc>
          <w:tcPr>
            <w:tcW w:w="2392"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w:t>
            </w:r>
            <w:r>
              <w:rPr>
                <w:rFonts w:hint="eastAsia" w:ascii="宋体" w:hAnsi="宋体"/>
                <w:color w:val="000000" w:themeColor="text1"/>
                <w:sz w:val="18"/>
                <w:szCs w:val="18"/>
              </w:rPr>
              <w:t>15988472219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1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w:t>
            </w:r>
            <w:r>
              <w:rPr>
                <w:rFonts w:hint="eastAsia" w:ascii="宋体" w:hAnsi="宋体"/>
                <w:color w:val="000000" w:themeColor="text1"/>
                <w:sz w:val="18"/>
                <w:szCs w:val="18"/>
              </w:rPr>
              <w:t>shaoqingtao@126.com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908"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唐宋文学与文献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8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97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297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广西师范大学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中国古代文学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复旦大学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中国古代文学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6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汉语国际教育专业硕士</w:t>
            </w:r>
          </w:p>
        </w:tc>
        <w:tc>
          <w:tcPr>
            <w:tcW w:w="22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中国传统文化评析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cstheme="minorEastAsia"/>
                <w:color w:val="000000" w:themeColor="text1"/>
                <w:sz w:val="18"/>
                <w:szCs w:val="18"/>
              </w:rPr>
            </w:pP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浙江科举文化史</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唐摭言研究</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中国社会科学出版社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史料所见晚唐迄北宋初骈文专集选本考</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广西师范大学学报（哲学社会科学版）</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79" w:type="dxa"/>
            <w:gridSpan w:val="4"/>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宋体" w:hAnsi="宋体"/>
                <w:bCs/>
                <w:color w:val="000000" w:themeColor="text1"/>
                <w:sz w:val="18"/>
                <w:szCs w:val="18"/>
              </w:rPr>
              <w:t>中国古代散文学会第十一届年会暨国际学术研讨会</w:t>
            </w:r>
          </w:p>
        </w:tc>
        <w:tc>
          <w:tcPr>
            <w:tcW w:w="1965"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宋体" w:hAnsi="宋体" w:cs="黑体"/>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宋体" w:hAnsi="宋体"/>
                <w:color w:val="000000" w:themeColor="text1"/>
                <w:sz w:val="18"/>
                <w:szCs w:val="18"/>
              </w:rPr>
              <w:t>政治隐喻下的文学张目</w:t>
            </w:r>
          </w:p>
        </w:tc>
        <w:tc>
          <w:tcPr>
            <w:tcW w:w="1222"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宋体" w:hAnsi="宋体"/>
                <w:color w:val="000000" w:themeColor="text1"/>
                <w:sz w:val="18"/>
                <w:szCs w:val="18"/>
              </w:rPr>
              <w:t>中国古代散文学会</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宋体" w:hAnsi="宋体"/>
                <w:color w:val="000000" w:themeColor="text1"/>
                <w:sz w:val="18"/>
                <w:szCs w:val="18"/>
              </w:rPr>
              <w:t>2016.09</w:t>
            </w:r>
          </w:p>
        </w:tc>
        <w:tc>
          <w:tcPr>
            <w:tcW w:w="1073" w:type="dxa"/>
            <w:tcBorders>
              <w:top w:val="single" w:color="auto" w:sz="4" w:space="0"/>
              <w:left w:val="single" w:color="auto" w:sz="4" w:space="0"/>
              <w:bottom w:val="single" w:color="auto" w:sz="4" w:space="0"/>
              <w:right w:val="single" w:color="auto" w:sz="4" w:space="0"/>
            </w:tcBorders>
            <w:vAlign w:val="center"/>
          </w:tcPr>
          <w:p>
            <w:pPr>
              <w:pStyle w:val="46"/>
              <w:snapToGrid w:val="0"/>
              <w:spacing w:before="0" w:after="0" w:line="240" w:lineRule="auto"/>
              <w:jc w:val="center"/>
              <w:rPr>
                <w:rFonts w:asciiTheme="minorEastAsia" w:hAnsiTheme="minorEastAsia" w:cstheme="minorEastAsia"/>
                <w:color w:val="000000" w:themeColor="text1"/>
                <w:sz w:val="18"/>
                <w:szCs w:val="18"/>
              </w:rPr>
            </w:pPr>
            <w:r>
              <w:rPr>
                <w:rFonts w:hint="eastAsia" w:hAnsi="宋体"/>
                <w:color w:val="000000" w:themeColor="text1"/>
                <w:sz w:val="18"/>
                <w:szCs w:val="18"/>
              </w:rPr>
              <w:t>广西师范大学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32"/>
          <w:szCs w:val="32"/>
        </w:rPr>
      </w:pPr>
      <w:r>
        <w:rPr>
          <w:rFonts w:ascii="仿宋_GB2312" w:hAnsi="Calibri" w:eastAsia="仿宋_GB2312" w:cs="黑体"/>
          <w:color w:val="000000" w:themeColor="text1"/>
          <w:sz w:val="32"/>
          <w:szCs w:val="32"/>
        </w:rPr>
        <w:br w:type="page"/>
      </w:r>
    </w:p>
    <w:p>
      <w:pPr>
        <w:spacing w:line="240" w:lineRule="exact"/>
        <w:rPr>
          <w:rFonts w:ascii="仿宋_GB2312" w:hAnsi="Calibri" w:eastAsia="仿宋_GB2312" w:cs="黑体"/>
          <w:color w:val="000000" w:themeColor="text1"/>
          <w:sz w:val="32"/>
          <w:szCs w:val="32"/>
        </w:rPr>
      </w:pPr>
    </w:p>
    <w:tbl>
      <w:tblPr>
        <w:tblStyle w:val="30"/>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530"/>
        <w:gridCol w:w="550"/>
        <w:gridCol w:w="925"/>
        <w:gridCol w:w="1297"/>
        <w:gridCol w:w="957"/>
        <w:gridCol w:w="20"/>
        <w:gridCol w:w="392"/>
        <w:gridCol w:w="1179"/>
        <w:gridCol w:w="1232"/>
        <w:gridCol w:w="1078"/>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姓名</w:t>
            </w:r>
          </w:p>
        </w:tc>
        <w:tc>
          <w:tcPr>
            <w:tcW w:w="10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王彦章</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性别</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6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出生日期</w:t>
            </w:r>
          </w:p>
        </w:tc>
        <w:tc>
          <w:tcPr>
            <w:tcW w:w="241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1971.08.24</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最终学位</w:t>
            </w: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72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职称</w:t>
            </w:r>
          </w:p>
        </w:tc>
        <w:tc>
          <w:tcPr>
            <w:tcW w:w="2005"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297"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任现职</w:t>
            </w:r>
          </w:p>
        </w:tc>
        <w:tc>
          <w:tcPr>
            <w:tcW w:w="136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411"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联系方式</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手机：</w:t>
            </w:r>
            <w:r>
              <w:rPr>
                <w:rFonts w:hint="eastAsia" w:asciiTheme="minorEastAsia" w:hAnsiTheme="minorEastAsia" w:cstheme="minorEastAsia"/>
                <w:color w:val="000000" w:themeColor="text1"/>
                <w:sz w:val="18"/>
                <w:szCs w:val="18"/>
              </w:rPr>
              <w:t>13575458377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72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05"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97"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6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411"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Email:</w:t>
            </w:r>
            <w:r>
              <w:rPr>
                <w:rFonts w:hint="eastAsia" w:asciiTheme="minorEastAsia" w:hAnsiTheme="minorEastAsia" w:cstheme="minorEastAsia"/>
                <w:color w:val="000000" w:themeColor="text1"/>
                <w:sz w:val="18"/>
                <w:szCs w:val="18"/>
              </w:rPr>
              <w:t>wyz@zust.edu.cn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专业特长</w:t>
            </w:r>
          </w:p>
        </w:tc>
        <w:tc>
          <w:tcPr>
            <w:tcW w:w="7237"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美学、道德哲学、中西文化比较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任课类别（必修、选修）</w:t>
            </w:r>
          </w:p>
        </w:tc>
        <w:tc>
          <w:tcPr>
            <w:tcW w:w="22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必修、选修</w:t>
            </w:r>
          </w:p>
        </w:tc>
        <w:tc>
          <w:tcPr>
            <w:tcW w:w="280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能否用外语授课</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731"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指导研究生情况</w:t>
            </w:r>
          </w:p>
        </w:tc>
        <w:tc>
          <w:tcPr>
            <w:tcW w:w="22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已获学位研究生人数</w:t>
            </w:r>
          </w:p>
        </w:tc>
        <w:tc>
          <w:tcPr>
            <w:tcW w:w="496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2731"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现有在读研究生人数</w:t>
            </w:r>
          </w:p>
        </w:tc>
        <w:tc>
          <w:tcPr>
            <w:tcW w:w="496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500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是否本校在编教师，如为外聘注明工作单位</w:t>
            </w:r>
          </w:p>
        </w:tc>
        <w:tc>
          <w:tcPr>
            <w:tcW w:w="496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学校</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2001</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山东大学</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教学对象</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汉语国际教育专业研究生</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中国文化与传播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汉语国际教育来华留学研究生</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中国文化经典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国外</w:t>
            </w:r>
            <w:r>
              <w:rPr>
                <w:rFonts w:hint="eastAsia" w:asciiTheme="minorEastAsia" w:hAnsiTheme="minorEastAsia" w:cstheme="minorEastAsia"/>
                <w:color w:val="000000" w:themeColor="text1"/>
                <w:sz w:val="18"/>
                <w:szCs w:val="18"/>
              </w:rPr>
              <w:t>学习/工作</w:t>
            </w:r>
            <w:r>
              <w:rPr>
                <w:rFonts w:asciiTheme="minorEastAsia" w:hAnsiTheme="minorEastAsia" w:cstheme="minorEastAsia"/>
                <w:color w:val="000000" w:themeColor="text1"/>
                <w:sz w:val="18"/>
                <w:szCs w:val="18"/>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起始年</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终止年</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国家及学校（系）</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2009</w:t>
            </w:r>
          </w:p>
        </w:tc>
        <w:tc>
          <w:tcPr>
            <w:tcW w:w="14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2010</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罗马尼亚巴贝什-波雅依大学</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教学</w:t>
            </w:r>
            <w:r>
              <w:rPr>
                <w:rFonts w:hint="eastAsia" w:asciiTheme="minorEastAsia" w:hAnsiTheme="minorEastAsia" w:cstheme="minorEastAsia"/>
                <w:color w:val="000000" w:themeColor="text1"/>
                <w:sz w:val="18"/>
                <w:szCs w:val="18"/>
              </w:rPr>
              <w:t>获奖/论文著作成果名称</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《当代中国审美文化》</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教育部</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《中国风尚史》（元明清卷）</w:t>
            </w:r>
          </w:p>
        </w:tc>
        <w:tc>
          <w:tcPr>
            <w:tcW w:w="507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新闻出版署、山东省</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《文学的后理论状态：突破概念的外壳》</w:t>
            </w:r>
          </w:p>
        </w:tc>
        <w:tc>
          <w:tcPr>
            <w:tcW w:w="22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《河南大学学报》（社会科学版）</w:t>
            </w:r>
          </w:p>
        </w:tc>
        <w:tc>
          <w:tcPr>
            <w:tcW w:w="28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中文核心、CSSCI</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《失范的心灵秩序：魏晋士人的意志自由与欲望审美》</w:t>
            </w:r>
          </w:p>
        </w:tc>
        <w:tc>
          <w:tcPr>
            <w:tcW w:w="22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《廊坊师范学院学报》（社会科学版）</w:t>
            </w:r>
          </w:p>
        </w:tc>
        <w:tc>
          <w:tcPr>
            <w:tcW w:w="282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一般期刊</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968"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近3年</w:t>
            </w:r>
            <w:r>
              <w:rPr>
                <w:rFonts w:hint="eastAsia" w:asciiTheme="minorEastAsia" w:hAnsiTheme="minorEastAsia" w:cstheme="minorEastAsia"/>
                <w:color w:val="000000" w:themeColor="text1"/>
                <w:sz w:val="18"/>
                <w:szCs w:val="18"/>
              </w:rPr>
              <w:t>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73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3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968" w:type="dxa"/>
            <w:gridSpan w:val="12"/>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053"/>
        <w:gridCol w:w="1151"/>
        <w:gridCol w:w="949"/>
        <w:gridCol w:w="21"/>
        <w:gridCol w:w="388"/>
        <w:gridCol w:w="1170"/>
        <w:gridCol w:w="1222"/>
        <w:gridCol w:w="1069"/>
        <w:gridCol w:w="15"/>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俞燕君</w:t>
            </w:r>
          </w:p>
        </w:tc>
        <w:tc>
          <w:tcPr>
            <w:tcW w:w="105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15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1969.12.23</w:t>
            </w:r>
          </w:p>
        </w:tc>
        <w:tc>
          <w:tcPr>
            <w:tcW w:w="10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124"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151"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手机：13958179748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24"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5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Email:243818821@qq.com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04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汉语国际教育、汉韩语言比较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1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844"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1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844"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2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2005.8</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韩国檀国大学（</w:t>
            </w:r>
            <w:r>
              <w:rPr>
                <w:rFonts w:hint="eastAsia" w:asciiTheme="minorEastAsia" w:hAnsiTheme="minorEastAsia" w:cstheme="minorEastAsia"/>
                <w:color w:val="000000" w:themeColor="text1"/>
                <w:sz w:val="18"/>
                <w:szCs w:val="18"/>
                <w:lang w:eastAsia="ko-KR"/>
              </w:rPr>
              <w:t>단국대학교</w:t>
            </w:r>
            <w:r>
              <w:rPr>
                <w:rFonts w:hint="eastAsia" w:asciiTheme="minorEastAsia" w:hAnsiTheme="minorEastAsia" w:cstheme="minorEastAsia"/>
                <w:color w:val="000000" w:themeColor="text1"/>
                <w:sz w:val="18"/>
                <w:szCs w:val="18"/>
              </w:rPr>
              <w:t>）</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2003.3</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韩国暻园大学</w:t>
            </w:r>
            <w:r>
              <w:rPr>
                <w:rFonts w:hint="eastAsia" w:asciiTheme="minorEastAsia" w:hAnsiTheme="minorEastAsia" w:cstheme="minorEastAsia"/>
                <w:color w:val="000000" w:themeColor="text1"/>
                <w:sz w:val="18"/>
                <w:szCs w:val="18"/>
                <w:lang w:eastAsia="ko-KR"/>
              </w:rPr>
              <w:t xml:space="preserve"> (경원대학교)</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1987.8</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1991.7</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浙江师范大学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ind w:firstLine="540" w:firstLineChars="300"/>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研究生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汉语教材与教学资源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留学生</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商务汉语口语、听说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2007.8</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2009.2</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韩国檀国大学中文系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对外汉语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2005.8</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韩国韩国檀国大学（</w:t>
            </w:r>
            <w:r>
              <w:rPr>
                <w:rFonts w:hint="eastAsia" w:ascii="Batang" w:hAnsi="Batang" w:eastAsia="Batang" w:cs="Batang"/>
                <w:color w:val="000000" w:themeColor="text1"/>
                <w:sz w:val="18"/>
                <w:szCs w:val="18"/>
                <w:lang w:eastAsia="ko-KR"/>
              </w:rPr>
              <w:t>단국대학교</w:t>
            </w:r>
            <w:r>
              <w:rPr>
                <w:rFonts w:hint="eastAsia" w:asciiTheme="minorEastAsia" w:hAnsiTheme="minorEastAsia" w:cstheme="minorEastAsia"/>
                <w:color w:val="000000" w:themeColor="text1"/>
                <w:sz w:val="18"/>
                <w:szCs w:val="18"/>
              </w:rPr>
              <w:t>）</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2003.3</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韩国暻园大学</w:t>
            </w:r>
            <w:r>
              <w:rPr>
                <w:rFonts w:hint="eastAsia" w:asciiTheme="minorEastAsia" w:hAnsiTheme="minorEastAsia" w:cstheme="minorEastAsia"/>
                <w:color w:val="000000" w:themeColor="text1"/>
                <w:sz w:val="18"/>
                <w:szCs w:val="18"/>
                <w:lang w:eastAsia="ko-KR"/>
              </w:rPr>
              <w:t xml:space="preserve"> (</w:t>
            </w:r>
            <w:r>
              <w:rPr>
                <w:rFonts w:hint="eastAsia" w:ascii="Batang" w:hAnsi="Batang" w:eastAsia="Batang" w:cs="Batang"/>
                <w:color w:val="000000" w:themeColor="text1"/>
                <w:sz w:val="18"/>
                <w:szCs w:val="18"/>
                <w:lang w:eastAsia="ko-KR"/>
              </w:rPr>
              <w:t>경원대학교</w:t>
            </w:r>
            <w:r>
              <w:rPr>
                <w:rFonts w:hint="eastAsia" w:asciiTheme="minorEastAsia" w:hAnsiTheme="minorEastAsia" w:cstheme="minorEastAsia"/>
                <w:color w:val="000000" w:themeColor="text1"/>
                <w:sz w:val="18"/>
                <w:szCs w:val="18"/>
                <w:lang w:eastAsia="ko-KR"/>
              </w:rPr>
              <w:t>)</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语言学及汉语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1999.9</w:t>
            </w:r>
          </w:p>
        </w:tc>
        <w:tc>
          <w:tcPr>
            <w:tcW w:w="15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2005.8</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韩国现代中国语学院</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对外汉语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90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《中国语言生活状况报告》的国际传播--以韩文版为例</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语言文字应用</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2016.02</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中国梦宣传融入留学生汉语教学的研究</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高教探索</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2016.04</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《中介语与对外汉语教学》--兼谈中介语在对外汉语教学中的作用</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中国高校科技</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2016.06</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政务新媒体语言及发布策略研究</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出版广角</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新形势下政务新媒体应用研究--评《政务新媒体时代-微博微信实战宝典》</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江西社会科学</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2017.05</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语言经济学视野下的汉语国际教育</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高教探索</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2017.05</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《中国语言生活状况报告2014》韩语版《</w:t>
            </w:r>
            <w:r>
              <w:rPr>
                <w:rFonts w:hint="eastAsia" w:asciiTheme="minorEastAsia" w:hAnsiTheme="minorEastAsia" w:cstheme="minorEastAsia"/>
                <w:color w:val="000000" w:themeColor="text1"/>
                <w:sz w:val="18"/>
                <w:szCs w:val="18"/>
                <w:lang w:eastAsia="ko-KR"/>
              </w:rPr>
              <w:t>중국언어생활현황2014</w:t>
            </w:r>
            <w:r>
              <w:rPr>
                <w:rFonts w:hint="eastAsia" w:asciiTheme="minorEastAsia" w:hAnsiTheme="minorEastAsia" w:cstheme="minorEastAsia"/>
                <w:color w:val="000000" w:themeColor="text1"/>
                <w:sz w:val="18"/>
                <w:szCs w:val="18"/>
              </w:rPr>
              <w:t>》</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lang w:eastAsia="ko-KR"/>
              </w:rPr>
            </w:pPr>
            <w:r>
              <w:rPr>
                <w:rFonts w:hint="eastAsia" w:asciiTheme="minorEastAsia" w:hAnsiTheme="minorEastAsia" w:cstheme="minorEastAsia"/>
                <w:color w:val="000000" w:themeColor="text1"/>
                <w:sz w:val="18"/>
                <w:szCs w:val="18"/>
              </w:rPr>
              <w:t>商务印书馆、韩国</w:t>
            </w:r>
            <w:r>
              <w:rPr>
                <w:rFonts w:hint="eastAsia" w:asciiTheme="minorEastAsia" w:hAnsiTheme="minorEastAsia" w:cstheme="minorEastAsia"/>
                <w:color w:val="000000" w:themeColor="text1"/>
                <w:sz w:val="18"/>
                <w:szCs w:val="18"/>
                <w:lang w:eastAsia="ko-KR"/>
              </w:rPr>
              <w:t>신성출판사</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2015.12</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《写意杭州——留学生学习汉语现代诗歌赏析》</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杭州出版社</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《汉语反身代词的功能与演变研究》</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《微观杭州》副主编</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商务印书馆</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《中国语言生活状况报告2015》韩语版《</w:t>
            </w:r>
            <w:r>
              <w:rPr>
                <w:rFonts w:hint="eastAsia" w:asciiTheme="minorEastAsia" w:hAnsiTheme="minorEastAsia" w:cstheme="minorEastAsia"/>
                <w:color w:val="000000" w:themeColor="text1"/>
                <w:sz w:val="18"/>
                <w:szCs w:val="18"/>
                <w:lang w:eastAsia="ko-KR"/>
              </w:rPr>
              <w:t>중국언어생활현황제2권</w:t>
            </w:r>
            <w:r>
              <w:rPr>
                <w:rFonts w:hint="eastAsia" w:asciiTheme="minorEastAsia" w:hAnsiTheme="minorEastAsia" w:cstheme="minorEastAsia"/>
                <w:color w:val="000000" w:themeColor="text1"/>
                <w:sz w:val="18"/>
                <w:szCs w:val="18"/>
              </w:rPr>
              <w:t>》</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lang w:eastAsia="ko-KR"/>
              </w:rPr>
            </w:pPr>
            <w:r>
              <w:rPr>
                <w:rFonts w:hint="eastAsia" w:asciiTheme="minorEastAsia" w:hAnsiTheme="minorEastAsia" w:cstheme="minorEastAsia"/>
                <w:color w:val="000000" w:themeColor="text1"/>
                <w:sz w:val="18"/>
                <w:szCs w:val="18"/>
              </w:rPr>
              <w:t>商务印书馆、韩国</w:t>
            </w:r>
            <w:r>
              <w:rPr>
                <w:rFonts w:hint="eastAsia" w:asciiTheme="minorEastAsia" w:hAnsiTheme="minorEastAsia" w:cstheme="minorEastAsia"/>
                <w:color w:val="000000" w:themeColor="text1"/>
                <w:sz w:val="18"/>
                <w:szCs w:val="18"/>
                <w:lang w:eastAsia="ko-KR"/>
              </w:rPr>
              <w:t>신성출판사</w:t>
            </w:r>
          </w:p>
          <w:p>
            <w:pPr>
              <w:jc w:val="center"/>
              <w:rPr>
                <w:rFonts w:asciiTheme="minorEastAsia" w:hAnsiTheme="minorEastAsia" w:cstheme="minorEastAsia"/>
                <w:color w:val="000000" w:themeColor="text1"/>
                <w:sz w:val="18"/>
                <w:szCs w:val="18"/>
              </w:rPr>
            </w:pP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2017.12</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政务新媒体高峰论坛</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《中国语言生活状况报告》的国际传播</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浙江省政务新媒体研究院</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2016.4.16</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浙江科技学院</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语言学与中文教学研讨交流会</w:t>
            </w:r>
          </w:p>
          <w:p>
            <w:pPr>
              <w:jc w:val="center"/>
              <w:rPr>
                <w:rFonts w:asciiTheme="minorEastAsia" w:hAnsiTheme="minorEastAsia" w:cstheme="minorEastAsia"/>
                <w:color w:val="000000" w:themeColor="text1"/>
                <w:sz w:val="18"/>
                <w:szCs w:val="18"/>
              </w:rPr>
            </w:pP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《中国语言生活状况报告》的国际传播</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浙江省政务新媒体研究院</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2016.4.26</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美国加州大学戴维斯分校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语言文字应用研究中青年学者协</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同创新联盟第二届学术研讨会</w:t>
            </w:r>
          </w:p>
          <w:p>
            <w:pPr>
              <w:jc w:val="center"/>
              <w:rPr>
                <w:rFonts w:asciiTheme="minorEastAsia" w:hAnsiTheme="minorEastAsia" w:cstheme="minorEastAsia"/>
                <w:color w:val="000000" w:themeColor="text1"/>
                <w:sz w:val="18"/>
                <w:szCs w:val="18"/>
              </w:rPr>
            </w:pP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《中国语言生活状况报告》韩文版的启示</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教育部语信司</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2016.10.12</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烟台鲁东大学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第十八届浙江省语言学年会暨浙黔语言学论坛》</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《中国语言生活状况报告》韩文版的启示</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浙江省、贵州省语言学会</w:t>
            </w:r>
          </w:p>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2016.10.28</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湖州师范学院</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政务新媒体研究院举办政务新媒体高峰论坛</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语言经济学视野下的汉语国际教育</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浙江省政务新媒体研究院</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2017.5.06</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浙江科技学院</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第十四届国际汉语教学学术研讨会</w:t>
            </w:r>
          </w:p>
          <w:p>
            <w:pPr>
              <w:jc w:val="center"/>
              <w:rPr>
                <w:rFonts w:asciiTheme="minorEastAsia" w:hAnsiTheme="minorEastAsia" w:cstheme="minorEastAsia"/>
                <w:color w:val="000000" w:themeColor="text1"/>
                <w:sz w:val="18"/>
                <w:szCs w:val="18"/>
              </w:rPr>
            </w:pP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基于翻转课堂的对外汉语口语教学模式研究</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澳门大学</w:t>
            </w:r>
          </w:p>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2017.6.16</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澳门大学</w:t>
            </w:r>
          </w:p>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黔浙语言学论坛暨贵州省语言学会第十八届年会</w:t>
            </w:r>
          </w:p>
          <w:p>
            <w:pPr>
              <w:jc w:val="center"/>
              <w:rPr>
                <w:rFonts w:asciiTheme="minorEastAsia" w:hAnsiTheme="minorEastAsia" w:cstheme="minorEastAsia"/>
                <w:color w:val="000000" w:themeColor="text1"/>
                <w:sz w:val="18"/>
                <w:szCs w:val="18"/>
              </w:rPr>
            </w:pP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大型国际活动中政务“两微”语言应用——以第十一届G20峰会的“杭州发布”为例</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浙江省、贵州省语言学会</w:t>
            </w:r>
          </w:p>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2017.9.14</w:t>
            </w:r>
          </w:p>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贵州工程应用技术学院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4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首届语言文字应用研究优秀中青年学者论坛暨第三届语言文字应用研究中青年学者协同创新联盟学术研讨会</w:t>
            </w:r>
          </w:p>
        </w:tc>
        <w:tc>
          <w:tcPr>
            <w:tcW w:w="210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大型国际活动中政务“两微”语言应用——以第十一届G20峰会的“杭州发布”为例</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教育部语信司</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2017.10.27</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厦门大学嘉庚学院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918"/>
        <w:gridCol w:w="1286"/>
        <w:gridCol w:w="949"/>
        <w:gridCol w:w="21"/>
        <w:gridCol w:w="388"/>
        <w:gridCol w:w="1170"/>
        <w:gridCol w:w="1222"/>
        <w:gridCol w:w="1069"/>
        <w:gridCol w:w="43"/>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杨瑞</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性别</w:t>
            </w:r>
          </w:p>
        </w:tc>
        <w:tc>
          <w:tcPr>
            <w:tcW w:w="128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出生日期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1977.7.7</w:t>
            </w:r>
          </w:p>
        </w:tc>
        <w:tc>
          <w:tcPr>
            <w:tcW w:w="11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最终学位</w:t>
            </w:r>
          </w:p>
        </w:tc>
        <w:tc>
          <w:tcPr>
            <w:tcW w:w="10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职称</w:t>
            </w:r>
          </w:p>
        </w:tc>
        <w:tc>
          <w:tcPr>
            <w:tcW w:w="198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副教授</w:t>
            </w:r>
          </w:p>
        </w:tc>
        <w:tc>
          <w:tcPr>
            <w:tcW w:w="128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商务汉语系主任</w:t>
            </w:r>
          </w:p>
        </w:tc>
        <w:tc>
          <w:tcPr>
            <w:tcW w:w="239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联系方式</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手机：</w:t>
            </w:r>
            <w:r>
              <w:rPr>
                <w:rFonts w:hint="eastAsia" w:asciiTheme="minorEastAsia" w:hAnsiTheme="minorEastAsia"/>
                <w:color w:val="000000" w:themeColor="text1"/>
                <w:sz w:val="18"/>
                <w:szCs w:val="18"/>
              </w:rPr>
              <w:t>18969128760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198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128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239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Email:</w:t>
            </w:r>
            <w:r>
              <w:rPr>
                <w:rFonts w:hint="eastAsia" w:asciiTheme="minorEastAsia" w:hAnsiTheme="minorEastAsia"/>
                <w:color w:val="000000" w:themeColor="text1"/>
                <w:sz w:val="18"/>
                <w:szCs w:val="18"/>
              </w:rPr>
              <w:t>182213607@qq.com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专业特长</w:t>
            </w:r>
          </w:p>
        </w:tc>
        <w:tc>
          <w:tcPr>
            <w:tcW w:w="7178"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汉语国际教育</w:t>
            </w:r>
            <w:r>
              <w:rPr>
                <w:rFonts w:hint="eastAsia" w:asciiTheme="minorEastAsia" w:hAnsiTheme="minorEastAsia"/>
                <w:color w:val="000000" w:themeColor="text1"/>
                <w:sz w:val="18"/>
                <w:szCs w:val="18"/>
              </w:rPr>
              <w:t xml:space="preserve">  古代文学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0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任课类别（必修、选修）</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必修</w:t>
            </w:r>
          </w:p>
        </w:tc>
        <w:tc>
          <w:tcPr>
            <w:tcW w:w="27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能否用外语授课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70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指导研究生情况</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已获学位研究生人数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70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p>
        </w:tc>
        <w:tc>
          <w:tcPr>
            <w:tcW w:w="225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现有在读研究生人数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是否本校在编教师，如为外聘注明工作单位</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eastAsia="黑体"/>
                <w:color w:val="000000" w:themeColor="text1"/>
                <w:sz w:val="18"/>
                <w:szCs w:val="18"/>
              </w:rPr>
            </w:pPr>
            <w:r>
              <w:rPr>
                <w:rFonts w:eastAsia="黑体"/>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起始年</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学校</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1999</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2001</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陕西教育学院</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汉语言文学教育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2001</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2004</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广西大学</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汉语言文字学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2004</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2007</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浙江大学</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古代文学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起始年</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教学对象</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2015</w:t>
            </w:r>
          </w:p>
          <w:p>
            <w:pPr>
              <w:jc w:val="center"/>
              <w:rPr>
                <w:rFonts w:asciiTheme="minorEastAsia" w:hAnsiTheme="minorEastAsia"/>
                <w:color w:val="000000" w:themeColor="text1"/>
                <w:sz w:val="18"/>
                <w:szCs w:val="18"/>
              </w:rPr>
            </w:pP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2018</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留学生研究生</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高级汉语</w:t>
            </w:r>
          </w:p>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中华经典文化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2015</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2018</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商务汉语本科生</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商务汉语综合一</w:t>
            </w:r>
            <w:r>
              <w:rPr>
                <w:rFonts w:hint="eastAsia" w:asciiTheme="minorEastAsia" w:hAnsiTheme="minorEastAsia"/>
                <w:color w:val="000000" w:themeColor="text1"/>
                <w:sz w:val="18"/>
                <w:szCs w:val="18"/>
              </w:rPr>
              <w:t>、</w:t>
            </w:r>
            <w:r>
              <w:rPr>
                <w:rFonts w:asciiTheme="minorEastAsia" w:hAnsiTheme="minorEastAsia"/>
                <w:color w:val="000000" w:themeColor="text1"/>
                <w:sz w:val="18"/>
                <w:szCs w:val="18"/>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2015</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2018</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商务汉语本科生</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汉字与文化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国外</w:t>
            </w:r>
            <w:r>
              <w:rPr>
                <w:rFonts w:hint="eastAsia" w:asciiTheme="minorEastAsia" w:hAnsiTheme="minorEastAsia"/>
                <w:color w:val="000000" w:themeColor="text1"/>
                <w:sz w:val="18"/>
                <w:szCs w:val="18"/>
              </w:rPr>
              <w:t>学习/工作</w:t>
            </w:r>
            <w:r>
              <w:rPr>
                <w:rFonts w:asciiTheme="minorEastAsia" w:hAnsiTheme="minorEastAsia"/>
                <w:color w:val="000000" w:themeColor="text1"/>
                <w:sz w:val="18"/>
                <w:szCs w:val="18"/>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起始年</w:t>
            </w: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终止年</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国家及学校（系）</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146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教学</w:t>
            </w:r>
            <w:r>
              <w:rPr>
                <w:rFonts w:hint="eastAsia" w:asciiTheme="minorEastAsia" w:hAnsiTheme="minorEastAsia"/>
                <w:color w:val="000000" w:themeColor="text1"/>
                <w:sz w:val="18"/>
                <w:szCs w:val="18"/>
              </w:rPr>
              <w:t>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教学</w:t>
            </w:r>
            <w:r>
              <w:rPr>
                <w:rFonts w:hint="eastAsia" w:asciiTheme="minorEastAsia" w:hAnsiTheme="minorEastAsia"/>
                <w:color w:val="000000" w:themeColor="text1"/>
                <w:sz w:val="18"/>
                <w:szCs w:val="18"/>
              </w:rPr>
              <w:t>获奖/论文著作成果名称</w:t>
            </w: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级别</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5036"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近3年</w:t>
            </w:r>
            <w:r>
              <w:rPr>
                <w:rFonts w:hint="eastAsia" w:asciiTheme="minorEastAsia" w:hAnsiTheme="minorEastAsia"/>
                <w:color w:val="000000" w:themeColor="text1"/>
                <w:sz w:val="18"/>
                <w:szCs w:val="18"/>
              </w:rPr>
              <w:t>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名称</w:t>
            </w:r>
          </w:p>
        </w:tc>
        <w:tc>
          <w:tcPr>
            <w:tcW w:w="2235"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发表刊物/出版社</w:t>
            </w:r>
          </w:p>
        </w:tc>
        <w:tc>
          <w:tcPr>
            <w:tcW w:w="2801"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期刊级别</w:t>
            </w: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周密集</w:t>
            </w:r>
          </w:p>
        </w:tc>
        <w:tc>
          <w:tcPr>
            <w:tcW w:w="2235"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浙江古籍出版社</w:t>
            </w:r>
          </w:p>
        </w:tc>
        <w:tc>
          <w:tcPr>
            <w:tcW w:w="2801"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2015.4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asciiTheme="minorEastAsia" w:hAnsiTheme="minorEastAsia"/>
                <w:color w:val="000000" w:themeColor="text1"/>
                <w:sz w:val="18"/>
                <w:szCs w:val="18"/>
              </w:rPr>
              <w:t>近3年</w:t>
            </w:r>
            <w:r>
              <w:rPr>
                <w:rFonts w:hint="eastAsia" w:asciiTheme="minorEastAsia" w:hAnsiTheme="minorEastAsia"/>
                <w:color w:val="000000" w:themeColor="text1"/>
                <w:sz w:val="18"/>
                <w:szCs w:val="18"/>
              </w:rPr>
              <w:t>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会议名称</w:t>
            </w:r>
          </w:p>
        </w:tc>
        <w:tc>
          <w:tcPr>
            <w:tcW w:w="2235"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论文题目</w:t>
            </w:r>
          </w:p>
        </w:tc>
        <w:tc>
          <w:tcPr>
            <w:tcW w:w="1222"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olor w:val="000000" w:themeColor="text1"/>
                <w:sz w:val="18"/>
                <w:szCs w:val="18"/>
              </w:rPr>
            </w:pPr>
            <w:r>
              <w:rPr>
                <w:rFonts w:hint="eastAsia" w:asciiTheme="minorEastAsia" w:hAnsi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709" w:type="dxa"/>
            <w:gridSpan w:val="4"/>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c>
          <w:tcPr>
            <w:tcW w:w="2235"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c>
          <w:tcPr>
            <w:tcW w:w="1222" w:type="dxa"/>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tcPr>
          <w:p>
            <w:pPr>
              <w:rPr>
                <w:rFonts w:asciiTheme="minorEastAsia" w:hAnsiTheme="minorEastAsia"/>
                <w:color w:val="000000" w:themeColor="text1"/>
                <w:sz w:val="18"/>
                <w:szCs w:val="18"/>
              </w:rPr>
            </w:pPr>
            <w:r>
              <w:rPr>
                <w:rFonts w:asciiTheme="minorEastAsia" w:hAnsiTheme="minorEastAsia"/>
                <w:color w:val="000000" w:themeColor="text1"/>
                <w:sz w:val="18"/>
                <w:szCs w:val="18"/>
              </w:rPr>
              <w:t>注：要求1人1表</w:t>
            </w:r>
          </w:p>
        </w:tc>
      </w:tr>
    </w:tbl>
    <w:p>
      <w:pPr>
        <w:spacing w:line="240" w:lineRule="exact"/>
        <w:rPr>
          <w:rFonts w:cs="黑体" w:asciiTheme="minorEastAsia" w:hAnsiTheme="minorEastAsia"/>
          <w:color w:val="000000" w:themeColor="text1"/>
          <w:sz w:val="18"/>
          <w:szCs w:val="18"/>
        </w:rPr>
      </w:pPr>
      <w:r>
        <w:rPr>
          <w:rFonts w:cs="黑体" w:asciiTheme="minorEastAsia" w:hAnsiTheme="minorEastAsia"/>
          <w:color w:val="000000" w:themeColor="text1"/>
          <w:sz w:val="18"/>
          <w:szCs w:val="18"/>
        </w:rPr>
        <w:br w:type="page"/>
      </w:r>
    </w:p>
    <w:tbl>
      <w:tblPr>
        <w:tblStyle w:val="30"/>
        <w:tblW w:w="9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2"/>
        <w:gridCol w:w="409"/>
        <w:gridCol w:w="106"/>
        <w:gridCol w:w="382"/>
        <w:gridCol w:w="153"/>
        <w:gridCol w:w="669"/>
        <w:gridCol w:w="569"/>
        <w:gridCol w:w="583"/>
        <w:gridCol w:w="340"/>
        <w:gridCol w:w="509"/>
        <w:gridCol w:w="19"/>
        <w:gridCol w:w="348"/>
        <w:gridCol w:w="54"/>
        <w:gridCol w:w="21"/>
        <w:gridCol w:w="380"/>
        <w:gridCol w:w="592"/>
        <w:gridCol w:w="556"/>
        <w:gridCol w:w="538"/>
        <w:gridCol w:w="660"/>
        <w:gridCol w:w="297"/>
        <w:gridCol w:w="750"/>
        <w:gridCol w:w="188"/>
        <w:gridCol w:w="16"/>
        <w:gridCol w:w="1042"/>
        <w:gridCol w:w="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29" w:hRule="atLeast"/>
          <w:jc w:val="center"/>
        </w:trPr>
        <w:tc>
          <w:tcPr>
            <w:tcW w:w="70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5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于云</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9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3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4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1975年8月23日</w:t>
            </w:r>
          </w:p>
        </w:tc>
        <w:tc>
          <w:tcPr>
            <w:tcW w:w="123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60" w:hRule="atLeast"/>
          <w:jc w:val="center"/>
        </w:trPr>
        <w:tc>
          <w:tcPr>
            <w:tcW w:w="706"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88"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923"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31"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w:t>
            </w:r>
          </w:p>
        </w:tc>
        <w:tc>
          <w:tcPr>
            <w:tcW w:w="2346"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手机：15306577995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706"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88"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923"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31"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46"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Email:yuyun89@163.com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37"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893" w:type="dxa"/>
            <w:gridSpan w:val="1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中西文化比较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537"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87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26"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00" w:hRule="atLeast"/>
          <w:jc w:val="center"/>
        </w:trPr>
        <w:tc>
          <w:tcPr>
            <w:tcW w:w="2994" w:type="dxa"/>
            <w:gridSpan w:val="8"/>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87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5019"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2994" w:type="dxa"/>
            <w:gridSpan w:val="8"/>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874"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5019"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4868" w:type="dxa"/>
            <w:gridSpan w:val="15"/>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5019"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00"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43"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1996</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曲阜师范大学</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54"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复旦大学</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现代西方哲学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3"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复旦大学</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文艺学与美学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15"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3"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wordWrap w:val="0"/>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文艺理论、文学写作、中西文化比较、浙江文化资源与开发、宗教学导论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27"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wordWrap w:val="0"/>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文艺理论、文学写作、中西文化比较、浙江文化资源与开发、宗教学导论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39"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本科生、研究生</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wordWrap w:val="0"/>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文艺理论、文学写作、中西文化比较、浙江文化资源与开发、宗教学导论、中外文化比较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95"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85"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270" w:hRule="atLeast"/>
          <w:jc w:val="center"/>
        </w:trPr>
        <w:tc>
          <w:tcPr>
            <w:tcW w:w="122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17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2019</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美国、巴德学院汉娜·阿伦特研究中心</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wordWrap w:val="0"/>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汉娜·阿伦特美学思想研究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351"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91"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600"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469"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85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74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文化公共性视野下的审美与艺术问题——汉娜阿伦特美学思想初探</w:t>
            </w:r>
          </w:p>
        </w:tc>
        <w:tc>
          <w:tcPr>
            <w:tcW w:w="185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文艺评论</w:t>
            </w:r>
          </w:p>
        </w:tc>
        <w:tc>
          <w:tcPr>
            <w:tcW w:w="274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cssci</w:t>
            </w:r>
          </w:p>
        </w:tc>
        <w:tc>
          <w:tcPr>
            <w:tcW w:w="229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25" w:hRule="atLeast"/>
          <w:jc w:val="center"/>
        </w:trPr>
        <w:tc>
          <w:tcPr>
            <w:tcW w:w="9887" w:type="dxa"/>
            <w:gridSpan w:val="2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8"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85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4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4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24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7" w:hRule="atLeast"/>
          <w:jc w:val="center"/>
        </w:trPr>
        <w:tc>
          <w:tcPr>
            <w:tcW w:w="299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85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4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9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4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4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3" w:type="dxa"/>
          <w:trHeight w:val="187" w:hRule="atLeast"/>
          <w:jc w:val="center"/>
        </w:trPr>
        <w:tc>
          <w:tcPr>
            <w:tcW w:w="9887" w:type="dxa"/>
            <w:gridSpan w:val="25"/>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95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凌喆</w:t>
            </w:r>
          </w:p>
        </w:tc>
        <w:tc>
          <w:tcPr>
            <w:tcW w:w="8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15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21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14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1979.01</w:t>
            </w:r>
          </w:p>
        </w:tc>
        <w:tc>
          <w:tcPr>
            <w:tcW w:w="191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64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1781"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15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216"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副院长</w:t>
            </w:r>
          </w:p>
        </w:tc>
        <w:tc>
          <w:tcPr>
            <w:tcW w:w="2141" w:type="dxa"/>
            <w:gridSpan w:val="6"/>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301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手机：15395712843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44"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781"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5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16"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1" w:type="dxa"/>
            <w:gridSpan w:val="6"/>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301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Email:bobonoo@126.com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42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525" w:type="dxa"/>
            <w:gridSpan w:val="1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欧美文学，比较诗学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42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02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489"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301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425" w:type="dxa"/>
            <w:gridSpan w:val="7"/>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02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5505"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425" w:type="dxa"/>
            <w:gridSpan w:val="7"/>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20"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5505"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445" w:type="dxa"/>
            <w:gridSpan w:val="12"/>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5505" w:type="dxa"/>
            <w:gridSpan w:val="1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1996</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比较文学与世界文学，硕士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比较文学与世界文学，博士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汉语161.162.151.152</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财管171.172，经济学174，应用物理171.172，德语171，留学生汉硕</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世界文学，比较文学，欧美诗歌专题，大学语文，中外文化比较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509" w:type="dxa"/>
            <w:gridSpan w:val="12"/>
            <w:tcBorders>
              <w:top w:val="single" w:color="auto" w:sz="4" w:space="0"/>
              <w:left w:val="single" w:color="auto" w:sz="4" w:space="0"/>
              <w:bottom w:val="single" w:color="auto" w:sz="4" w:space="0"/>
              <w:right w:val="single" w:color="auto" w:sz="4" w:space="0"/>
            </w:tcBorders>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汉语151.152，141.142，机械学院大类1605,机械学院大类1606,机械学院大类1607,机械学院大类1608，土木工程（国际班）161(针对外国学生),土木工程（国际班）162(针对外国学生)</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世界文学，比较文学，欧美诗歌专题，大学语文，初级汉语口语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4509" w:type="dxa"/>
            <w:gridSpan w:val="12"/>
            <w:tcBorders>
              <w:top w:val="single" w:color="auto" w:sz="4" w:space="0"/>
              <w:left w:val="single" w:color="auto" w:sz="4" w:space="0"/>
              <w:bottom w:val="single" w:color="auto" w:sz="4" w:space="0"/>
              <w:right w:val="single" w:color="auto" w:sz="4" w:space="0"/>
            </w:tcBorders>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汉语141.142，131.132，信息学院大类1501,信息学院大类1502,信息学院大类1503，食品科学与工程（国际班）151,市场营销（国际班）151(针对外国学生)</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世界文学，比较文学，欧美诗歌专题，大学语文，初级汉语口语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115"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1310"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德国不伦瑞克沃芬比特尔应用科技大学</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对外汉语，文化交流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ab/>
            </w:r>
            <w:r>
              <w:rPr>
                <w:rFonts w:hint="eastAsia" w:asciiTheme="minorEastAsia" w:hAnsiTheme="minorEastAsia" w:cstheme="minorEastAsia"/>
                <w:color w:val="000000" w:themeColor="text1"/>
                <w:sz w:val="18"/>
                <w:szCs w:val="18"/>
              </w:rPr>
              <w:t>论文：《思绪之狐》：休斯的一个诗学起点</w:t>
            </w:r>
            <w:r>
              <w:rPr>
                <w:rFonts w:hint="eastAsia" w:asciiTheme="minorEastAsia" w:hAnsiTheme="minorEastAsia" w:cstheme="minorEastAsia"/>
                <w:color w:val="000000" w:themeColor="text1"/>
                <w:sz w:val="18"/>
                <w:szCs w:val="18"/>
              </w:rPr>
              <w:tab/>
            </w:r>
            <w:r>
              <w:rPr>
                <w:rFonts w:hint="eastAsia" w:asciiTheme="minorEastAsia" w:hAnsiTheme="minorEastAsia" w:cstheme="minorEastAsia"/>
                <w:color w:val="000000" w:themeColor="text1"/>
                <w:sz w:val="18"/>
                <w:szCs w:val="18"/>
              </w:rPr>
              <w:tab/>
            </w: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浙江省社科联第八届青年社会科学优秀成果奖，</w:t>
            </w:r>
          </w:p>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市厅级</w:t>
            </w:r>
            <w:r>
              <w:rPr>
                <w:rFonts w:hint="eastAsia" w:asciiTheme="minorEastAsia" w:hAnsiTheme="minorEastAsia" w:cstheme="minorEastAsia"/>
                <w:color w:val="000000" w:themeColor="text1"/>
                <w:sz w:val="18"/>
                <w:szCs w:val="18"/>
              </w:rPr>
              <w:tab/>
            </w:r>
            <w:r>
              <w:rPr>
                <w:rFonts w:hint="eastAsia" w:asciiTheme="minorEastAsia" w:hAnsiTheme="minorEastAsia" w:cstheme="minorEastAsia"/>
                <w:color w:val="000000" w:themeColor="text1"/>
                <w:sz w:val="18"/>
                <w:szCs w:val="18"/>
              </w:rPr>
              <w:t>三等奖</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4509"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01"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3016"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死亡是一门艺术——论诗人传记电影《篇篇情意劫》的死亡哲学</w:t>
            </w:r>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当代电影</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《思绪之狐》：休斯的一个诗学起点</w:t>
            </w:r>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中文学术前沿</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人文精神与文化浙江</w:t>
            </w:r>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浙江社会科学</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核心</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特德•休斯诗歌与诗学中的萨满特性</w:t>
            </w:r>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外国文学研究</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一级期刊</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center"/>
              <w:rPr>
                <w:rFonts w:asciiTheme="minorEastAsia" w:hAnsiTheme="minorEastAsia" w:cstheme="minorEastAsia"/>
                <w:color w:val="000000" w:themeColor="text1"/>
                <w:sz w:val="18"/>
                <w:szCs w:val="18"/>
              </w:rPr>
            </w:pPr>
            <w:bookmarkStart w:id="1" w:name="OLE_LINK13"/>
            <w:r>
              <w:rPr>
                <w:rFonts w:hint="eastAsia" w:asciiTheme="minorEastAsia" w:hAnsiTheme="minorEastAsia" w:cstheme="minorEastAsia"/>
                <w:color w:val="000000" w:themeColor="text1"/>
                <w:sz w:val="18"/>
                <w:szCs w:val="18"/>
              </w:rPr>
              <w:t>特德•休斯诗学研究</w:t>
            </w:r>
            <w:bookmarkEnd w:id="1"/>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425"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木偶奇遇记（编译）</w:t>
            </w:r>
          </w:p>
        </w:tc>
        <w:tc>
          <w:tcPr>
            <w:tcW w:w="2001" w:type="dxa"/>
            <w:gridSpan w:val="4"/>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508" w:type="dxa"/>
            <w:gridSpan w:val="8"/>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3016" w:type="dxa"/>
            <w:gridSpan w:val="7"/>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950" w:type="dxa"/>
            <w:gridSpan w:val="2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01"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414"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09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957"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2059" w:type="dxa"/>
            <w:gridSpan w:val="5"/>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425" w:type="dxa"/>
            <w:gridSpan w:val="7"/>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2001" w:type="dxa"/>
            <w:gridSpan w:val="4"/>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414" w:type="dxa"/>
            <w:gridSpan w:val="6"/>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094"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957"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2059" w:type="dxa"/>
            <w:gridSpan w:val="5"/>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950" w:type="dxa"/>
            <w:gridSpan w:val="26"/>
            <w:tcBorders>
              <w:top w:val="single" w:color="auto" w:sz="4" w:space="0"/>
              <w:left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p>
      <w:pPr>
        <w:spacing w:line="240" w:lineRule="exact"/>
        <w:rPr>
          <w:rFonts w:ascii="仿宋_GB2312" w:hAnsi="Calibri" w:eastAsia="仿宋_GB2312" w:cs="黑体"/>
          <w:color w:val="000000" w:themeColor="text1"/>
          <w:sz w:val="18"/>
          <w:szCs w:val="18"/>
        </w:rPr>
      </w:pPr>
    </w:p>
    <w:p>
      <w:pPr>
        <w:spacing w:line="240" w:lineRule="exact"/>
        <w:rPr>
          <w:rFonts w:ascii="仿宋_GB2312" w:hAnsi="Calibri" w:eastAsia="仿宋_GB2312" w:cs="黑体"/>
          <w:color w:val="000000" w:themeColor="text1"/>
          <w:sz w:val="18"/>
          <w:szCs w:val="18"/>
        </w:rPr>
      </w:pP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188"/>
        <w:gridCol w:w="1016"/>
        <w:gridCol w:w="949"/>
        <w:gridCol w:w="21"/>
        <w:gridCol w:w="388"/>
        <w:gridCol w:w="1170"/>
        <w:gridCol w:w="1078"/>
        <w:gridCol w:w="144"/>
        <w:gridCol w:w="1069"/>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张琴</w:t>
            </w:r>
          </w:p>
        </w:tc>
        <w:tc>
          <w:tcPr>
            <w:tcW w:w="1188"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1976.01.29</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59"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016"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教师</w:t>
            </w:r>
          </w:p>
        </w:tc>
        <w:tc>
          <w:tcPr>
            <w:tcW w:w="2392"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手机：18658195158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9"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16"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Email:ilylxl@hotmail.com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908"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宋明理学、佛教思想文化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8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979"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2979"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1994</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1998</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武汉大学（原武汉水利电力大学）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经济学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2003</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华中科技大学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2010</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62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浙江科技学院人文与国际教育学院汉语国际教育专业硕士2015级、2016级、2017级</w:t>
            </w:r>
          </w:p>
        </w:tc>
        <w:tc>
          <w:tcPr>
            <w:tcW w:w="228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中国思想文化、国学经典导读（校选课）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73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766"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《杭州佛教文献集萃》第六册之《元照集》</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宗教文化出版社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《儒藏精华编》之《敬和堂集》</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北京大学出版社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胡宏“知言”哲学研究</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浙江大学出版社</w:t>
            </w:r>
          </w:p>
        </w:tc>
        <w:tc>
          <w:tcPr>
            <w:tcW w:w="2801"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一级出版社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7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6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2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530"/>
        <w:gridCol w:w="548"/>
        <w:gridCol w:w="924"/>
        <w:gridCol w:w="1295"/>
        <w:gridCol w:w="954"/>
        <w:gridCol w:w="22"/>
        <w:gridCol w:w="390"/>
        <w:gridCol w:w="1178"/>
        <w:gridCol w:w="1229"/>
        <w:gridCol w:w="107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程永艳</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2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6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40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1965.6.25</w:t>
            </w:r>
          </w:p>
        </w:tc>
        <w:tc>
          <w:tcPr>
            <w:tcW w:w="107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002"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295"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66"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407"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手机：13003615431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4"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02"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95"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66"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407"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224"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比较文学与世界文学、应用语言学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7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2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选修</w:t>
            </w:r>
          </w:p>
        </w:tc>
        <w:tc>
          <w:tcPr>
            <w:tcW w:w="279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726"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2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5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726"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5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97"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5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1984</w:t>
            </w: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1988</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杭州大学本科/浙江大学硕士</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汉语言文学/比较文学世界文学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汉语言文学、商务汉语专业本科学生</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《写作学》《文秘写作》《秘书理论与实务》《口语交际》《中级汉语写作》《语音偏误分析与正音》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4"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1472"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农民工基本文化权益保障问题研究</w:t>
            </w:r>
          </w:p>
        </w:tc>
        <w:tc>
          <w:tcPr>
            <w:tcW w:w="5068" w:type="dxa"/>
            <w:gridSpan w:val="6"/>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浙江省第十六届哲学社会科学优秀成果奖应用对策类三等奖</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249"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1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2249"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2819"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c>
          <w:tcPr>
            <w:tcW w:w="2156"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950" w:type="dxa"/>
            <w:gridSpan w:val="1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249" w:type="dxa"/>
            <w:gridSpan w:val="2"/>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90" w:type="dxa"/>
            <w:gridSpan w:val="3"/>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76"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8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726" w:type="dxa"/>
            <w:gridSpan w:val="4"/>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2249" w:type="dxa"/>
            <w:gridSpan w:val="2"/>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590" w:type="dxa"/>
            <w:gridSpan w:val="3"/>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229" w:type="dxa"/>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076" w:type="dxa"/>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c>
          <w:tcPr>
            <w:tcW w:w="1080" w:type="dxa"/>
            <w:tcBorders>
              <w:top w:val="single" w:color="auto" w:sz="4" w:space="0"/>
              <w:left w:val="single" w:color="auto" w:sz="4" w:space="0"/>
              <w:bottom w:val="single" w:color="auto" w:sz="4" w:space="0"/>
              <w:right w:val="single" w:color="auto" w:sz="4" w:space="0"/>
            </w:tcBorders>
          </w:tcPr>
          <w:p>
            <w:pP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950" w:type="dxa"/>
            <w:gridSpan w:val="12"/>
            <w:tcBorders>
              <w:top w:val="single" w:color="auto" w:sz="4" w:space="0"/>
              <w:left w:val="single" w:color="auto" w:sz="4" w:space="0"/>
              <w:right w:val="single" w:color="auto" w:sz="4" w:space="0"/>
            </w:tcBorders>
          </w:tcPr>
          <w:p>
            <w:pP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18"/>
          <w:szCs w:val="18"/>
        </w:rPr>
      </w:pPr>
      <w:r>
        <w:rPr>
          <w:rFonts w:ascii="仿宋_GB2312" w:hAnsi="Calibri" w:eastAsia="仿宋_GB2312" w:cs="黑体"/>
          <w:color w:val="000000" w:themeColor="text1"/>
          <w:sz w:val="18"/>
          <w:szCs w:val="18"/>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25"/>
        <w:gridCol w:w="545"/>
        <w:gridCol w:w="1144"/>
        <w:gridCol w:w="1062"/>
        <w:gridCol w:w="948"/>
        <w:gridCol w:w="21"/>
        <w:gridCol w:w="389"/>
        <w:gridCol w:w="1169"/>
        <w:gridCol w:w="1223"/>
        <w:gridCol w:w="1069"/>
        <w:gridCol w:w="30"/>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祝敏</w:t>
            </w:r>
          </w:p>
        </w:tc>
        <w:tc>
          <w:tcPr>
            <w:tcW w:w="114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1970.11.6</w:t>
            </w:r>
          </w:p>
        </w:tc>
        <w:tc>
          <w:tcPr>
            <w:tcW w:w="10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4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19"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14"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062"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英语教师</w:t>
            </w:r>
          </w:p>
        </w:tc>
        <w:tc>
          <w:tcPr>
            <w:tcW w:w="239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手机：13355717032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19"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14"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62"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 mazhuwei@aliyun.com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954"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教育学、英语教育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03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必修</w:t>
            </w:r>
          </w:p>
        </w:tc>
        <w:tc>
          <w:tcPr>
            <w:tcW w:w="278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933"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03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933"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3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4"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3"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1988</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1992</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杭州师范学院</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英语语言文学学士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2004</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英语语言文学硕士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2010</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2012</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上海外国语大学</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英语语言文学（博士课程）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13级英语专业</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高级英语、语言学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14级英语专业</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高级英语、语言学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15级英语专业、17级汉硕</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高级英语、语言学、硕士英语读写及听说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2014</w:t>
            </w:r>
          </w:p>
        </w:tc>
        <w:tc>
          <w:tcPr>
            <w:tcW w:w="16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美国波特兰州立大学传播系</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认知隐喻研究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语言学概论课件获第十二届全国多媒体课件大赛高教文科组二等奖</w:t>
            </w:r>
          </w:p>
        </w:tc>
        <w:tc>
          <w:tcPr>
            <w:tcW w:w="4812"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厅局级</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语境制约下的模拟器理论述评</w:t>
            </w: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广东外语外贸大学学报</w:t>
            </w:r>
          </w:p>
        </w:tc>
        <w:tc>
          <w:tcPr>
            <w:tcW w:w="28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普通</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《比言词更有效——思维如何创造意义的新科学》评介</w:t>
            </w: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语言教育</w:t>
            </w:r>
          </w:p>
        </w:tc>
        <w:tc>
          <w:tcPr>
            <w:tcW w:w="28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普通</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基于感知模拟的语篇融通隐喻研究</w:t>
            </w: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浙江外国语学院学报</w:t>
            </w:r>
          </w:p>
        </w:tc>
        <w:tc>
          <w:tcPr>
            <w:tcW w:w="280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普通</w:t>
            </w:r>
          </w:p>
        </w:tc>
        <w:tc>
          <w:tcPr>
            <w:tcW w:w="214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3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3"/>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br w:type="page"/>
      </w:r>
    </w:p>
    <w:p>
      <w:pPr>
        <w:jc w:val="center"/>
        <w:rPr>
          <w:rFonts w:asciiTheme="minorEastAsia" w:hAnsiTheme="minorEastAsia" w:cstheme="minorEastAsia"/>
          <w:color w:val="000000" w:themeColor="text1"/>
          <w:sz w:val="18"/>
          <w:szCs w:val="18"/>
        </w:rPr>
      </w:pP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25"/>
        <w:gridCol w:w="545"/>
        <w:gridCol w:w="1203"/>
        <w:gridCol w:w="1003"/>
        <w:gridCol w:w="948"/>
        <w:gridCol w:w="21"/>
        <w:gridCol w:w="389"/>
        <w:gridCol w:w="1169"/>
        <w:gridCol w:w="1107"/>
        <w:gridCol w:w="118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赵学德</w:t>
            </w:r>
          </w:p>
        </w:tc>
        <w:tc>
          <w:tcPr>
            <w:tcW w:w="12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00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男</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1980.06.30</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19"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273"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副教授</w:t>
            </w:r>
          </w:p>
        </w:tc>
        <w:tc>
          <w:tcPr>
            <w:tcW w:w="1003"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6"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手机：13606703032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19"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3"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03"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76"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Email:dezensh@126.com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6895"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认知语言学、英汉对比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必修</w:t>
            </w:r>
          </w:p>
        </w:tc>
        <w:tc>
          <w:tcPr>
            <w:tcW w:w="266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992"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992"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72"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4"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3"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1998</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山东大学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2005</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同济大学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外国语言学及应用语言学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2007</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2010</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复旦大学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英语语言文学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2015级研究生</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硕士英语2、硕士英语口语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2016级研究生</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硕士英语2、硕士英语口语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174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美国波特兰州立大学</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隐喻学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637"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6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68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2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1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99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“语言表达蕴含研究”高端论坛</w:t>
            </w:r>
          </w:p>
        </w:tc>
        <w:tc>
          <w:tcPr>
            <w:tcW w:w="195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构式语法视阈下人体词“眉”的研究</w:t>
            </w:r>
          </w:p>
        </w:tc>
        <w:tc>
          <w:tcPr>
            <w:tcW w:w="1107"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中国认知语言学研究会</w:t>
            </w:r>
          </w:p>
        </w:tc>
        <w:tc>
          <w:tcPr>
            <w:tcW w:w="118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2017.03.18</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华南理工大学外国语学院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9887" w:type="dxa"/>
            <w:gridSpan w:val="12"/>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注：要求1人1表</w:t>
            </w:r>
          </w:p>
        </w:tc>
      </w:tr>
    </w:tbl>
    <w:p>
      <w:pPr>
        <w:spacing w:line="240" w:lineRule="exact"/>
        <w:rPr>
          <w:rFonts w:ascii="仿宋_GB2312" w:hAnsi="Calibri" w:eastAsia="仿宋_GB2312" w:cs="黑体"/>
          <w:color w:val="000000" w:themeColor="text1"/>
          <w:sz w:val="32"/>
          <w:szCs w:val="32"/>
        </w:rPr>
      </w:pPr>
    </w:p>
    <w:p>
      <w:pPr>
        <w:spacing w:line="240" w:lineRule="exact"/>
        <w:rPr>
          <w:rFonts w:ascii="仿宋_GB2312" w:hAnsi="Calibri" w:eastAsia="仿宋_GB2312" w:cs="黑体"/>
          <w:color w:val="000000" w:themeColor="text1"/>
          <w:sz w:val="32"/>
          <w:szCs w:val="32"/>
        </w:rPr>
      </w:pPr>
    </w:p>
    <w:p>
      <w:pPr>
        <w:spacing w:line="240" w:lineRule="exact"/>
        <w:rPr>
          <w:rFonts w:ascii="仿宋_GB2312" w:hAnsi="Calibri" w:eastAsia="仿宋_GB2312" w:cs="黑体"/>
          <w:color w:val="000000" w:themeColor="text1"/>
          <w:sz w:val="32"/>
          <w:szCs w:val="32"/>
        </w:rPr>
      </w:pPr>
    </w:p>
    <w:p>
      <w:pPr>
        <w:spacing w:line="240" w:lineRule="exact"/>
        <w:rPr>
          <w:rFonts w:ascii="仿宋_GB2312" w:hAnsi="Calibri" w:eastAsia="仿宋_GB2312" w:cs="黑体"/>
          <w:color w:val="000000" w:themeColor="text1"/>
          <w:sz w:val="32"/>
          <w:szCs w:val="32"/>
        </w:rPr>
      </w:pPr>
    </w:p>
    <w:p>
      <w:pPr>
        <w:spacing w:line="240" w:lineRule="exact"/>
        <w:rPr>
          <w:rFonts w:ascii="仿宋_GB2312" w:hAnsi="Calibri" w:eastAsia="仿宋_GB2312" w:cs="黑体"/>
          <w:color w:val="000000" w:themeColor="text1"/>
          <w:sz w:val="32"/>
          <w:szCs w:val="32"/>
        </w:rPr>
      </w:pPr>
      <w:r>
        <w:rPr>
          <w:rFonts w:ascii="仿宋_GB2312" w:hAnsi="Calibri" w:eastAsia="仿宋_GB2312" w:cs="黑体"/>
          <w:color w:val="000000" w:themeColor="text1"/>
          <w:sz w:val="32"/>
          <w:szCs w:val="32"/>
        </w:rPr>
        <w:br w:type="page"/>
      </w:r>
    </w:p>
    <w:tbl>
      <w:tblPr>
        <w:tblStyle w:val="30"/>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526"/>
        <w:gridCol w:w="545"/>
        <w:gridCol w:w="1083"/>
        <w:gridCol w:w="1121"/>
        <w:gridCol w:w="949"/>
        <w:gridCol w:w="21"/>
        <w:gridCol w:w="388"/>
        <w:gridCol w:w="1170"/>
        <w:gridCol w:w="1222"/>
        <w:gridCol w:w="1069"/>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姓名</w:t>
            </w:r>
          </w:p>
        </w:tc>
        <w:tc>
          <w:tcPr>
            <w:tcW w:w="107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张玲</w:t>
            </w:r>
          </w:p>
        </w:tc>
        <w:tc>
          <w:tcPr>
            <w:tcW w:w="108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性别</w:t>
            </w:r>
          </w:p>
        </w:tc>
        <w:tc>
          <w:tcPr>
            <w:tcW w:w="112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女</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出生日期</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1979年8月</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最终学位</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jc w:val="center"/>
        </w:trPr>
        <w:tc>
          <w:tcPr>
            <w:tcW w:w="720"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职称</w:t>
            </w:r>
          </w:p>
        </w:tc>
        <w:tc>
          <w:tcPr>
            <w:tcW w:w="2154"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讲师</w:t>
            </w:r>
          </w:p>
        </w:tc>
        <w:tc>
          <w:tcPr>
            <w:tcW w:w="1121"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任现职</w:t>
            </w:r>
          </w:p>
        </w:tc>
        <w:tc>
          <w:tcPr>
            <w:tcW w:w="1358" w:type="dxa"/>
            <w:gridSpan w:val="3"/>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联系方式</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手机：13516859045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720"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54"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121"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358" w:type="dxa"/>
            <w:gridSpan w:val="3"/>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392" w:type="dxa"/>
            <w:gridSpan w:val="2"/>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Email: history0831@163.com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专业特长</w:t>
            </w:r>
          </w:p>
        </w:tc>
        <w:tc>
          <w:tcPr>
            <w:tcW w:w="7013"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类型学、教育学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任课类别（必修、选修）</w:t>
            </w:r>
          </w:p>
        </w:tc>
        <w:tc>
          <w:tcPr>
            <w:tcW w:w="20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必修</w:t>
            </w:r>
          </w:p>
        </w:tc>
        <w:tc>
          <w:tcPr>
            <w:tcW w:w="278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能否用外语授课</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2874" w:type="dxa"/>
            <w:gridSpan w:val="4"/>
            <w:vMerge w:val="restart"/>
            <w:tcBorders>
              <w:top w:val="single" w:color="auto" w:sz="4" w:space="0"/>
              <w:left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指导研究生情况</w:t>
            </w:r>
          </w:p>
        </w:tc>
        <w:tc>
          <w:tcPr>
            <w:tcW w:w="20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已获学位研究生人数</w:t>
            </w:r>
          </w:p>
        </w:tc>
        <w:tc>
          <w:tcPr>
            <w:tcW w:w="492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2874" w:type="dxa"/>
            <w:gridSpan w:val="4"/>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91"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现有在读研究生人数</w:t>
            </w:r>
          </w:p>
        </w:tc>
        <w:tc>
          <w:tcPr>
            <w:tcW w:w="492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4965" w:type="dxa"/>
            <w:gridSpan w:val="7"/>
            <w:tcBorders>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是否本校在编教师，如为外聘注明工作单位</w:t>
            </w:r>
          </w:p>
        </w:tc>
        <w:tc>
          <w:tcPr>
            <w:tcW w:w="492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在编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教育经历（本科填起）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学校</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1998</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2002</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河南大学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编辑学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2008</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2011</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北京语言大学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汉语言文字学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2011</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2015</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香港城市大学</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语言学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近3年来主要教学实践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教学对象</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汉语国际教育专业硕士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跨文化交际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国外学习/工作经历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起始年</w:t>
            </w: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终止年</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国家及学校（系）</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学习/教学内容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62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教学科研获奖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教学获奖/论文著作成果名称</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2017年浙江省高校微课教学比赛 外语组视频类三等奖</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省级</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浙江科技学院第十届青年教师教学技能竞赛“十佳”</w:t>
            </w:r>
          </w:p>
        </w:tc>
        <w:tc>
          <w:tcPr>
            <w:tcW w:w="48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校级</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近3年论文著作（仅限核心期刊和专业期刊）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名称</w:t>
            </w: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发表刊物/出版社</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期刊级别</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发表时间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《浅议现汉中“X于”的来源》</w:t>
            </w: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《外语论丛》</w:t>
            </w:r>
          </w:p>
        </w:tc>
        <w:tc>
          <w:tcPr>
            <w:tcW w:w="2801"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一般</w:t>
            </w:r>
          </w:p>
        </w:tc>
        <w:tc>
          <w:tcPr>
            <w:tcW w:w="214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9887" w:type="dxa"/>
            <w:gridSpan w:val="1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近3年参加汉语国际教育学术会议情况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会议名称</w:t>
            </w: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大会报告/分组报告</w:t>
            </w: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论文题目</w:t>
            </w: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主办机构</w:t>
            </w: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时间</w:t>
            </w: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287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207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57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22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c>
          <w:tcPr>
            <w:tcW w:w="107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stheme="minorEastAsia"/>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9887" w:type="dxa"/>
            <w:gridSpan w:val="12"/>
            <w:tcBorders>
              <w:top w:val="single" w:color="auto" w:sz="4" w:space="0"/>
              <w:left w:val="single" w:color="auto" w:sz="4" w:space="0"/>
              <w:right w:val="single" w:color="auto" w:sz="4" w:space="0"/>
            </w:tcBorders>
            <w:vAlign w:val="center"/>
          </w:tcPr>
          <w:p>
            <w:pPr>
              <w:jc w:val="left"/>
              <w:rPr>
                <w:rFonts w:asciiTheme="minorEastAsia" w:hAnsiTheme="minorEastAsia" w:cstheme="minorEastAsia"/>
                <w:color w:val="000000" w:themeColor="text1"/>
                <w:sz w:val="18"/>
                <w:szCs w:val="18"/>
              </w:rPr>
            </w:pPr>
            <w:r>
              <w:rPr>
                <w:rFonts w:hint="eastAsia" w:asciiTheme="minorEastAsia" w:hAnsiTheme="minorEastAsia" w:cstheme="minorEastAsia"/>
                <w:color w:val="000000" w:themeColor="text1"/>
                <w:sz w:val="18"/>
                <w:szCs w:val="18"/>
              </w:rPr>
              <w:t>注：要求1人1</w:t>
            </w:r>
          </w:p>
        </w:tc>
      </w:tr>
    </w:tbl>
    <w:p>
      <w:pPr>
        <w:spacing w:line="240" w:lineRule="exact"/>
        <w:rPr>
          <w:rFonts w:ascii="仿宋_GB2312" w:hAnsi="Calibri" w:eastAsia="仿宋_GB2312" w:cs="黑体"/>
          <w:color w:val="000000" w:themeColor="text1"/>
          <w:sz w:val="32"/>
          <w:szCs w:val="32"/>
        </w:rPr>
      </w:pPr>
      <w:r>
        <w:rPr>
          <w:rFonts w:ascii="仿宋_GB2312" w:hAnsi="Calibri" w:eastAsia="仿宋_GB2312" w:cs="黑体"/>
          <w:color w:val="000000" w:themeColor="text1"/>
          <w:sz w:val="32"/>
          <w:szCs w:val="32"/>
        </w:rPr>
        <w:br w:type="page"/>
      </w:r>
    </w:p>
    <w:p>
      <w:pPr>
        <w:spacing w:line="240" w:lineRule="exact"/>
        <w:rPr>
          <w:rFonts w:ascii="仿宋_GB2312" w:hAnsi="华文楷体" w:eastAsia="仿宋_GB2312" w:cs="黑体"/>
          <w:b/>
          <w:color w:val="000000" w:themeColor="text1"/>
          <w:sz w:val="32"/>
          <w:szCs w:val="32"/>
        </w:rPr>
      </w:pPr>
    </w:p>
    <w:p>
      <w:pPr>
        <w:spacing w:line="300" w:lineRule="exact"/>
        <w:rPr>
          <w:rFonts w:ascii="仿宋_GB2312" w:hAnsi="华文楷体" w:eastAsia="仿宋_GB2312" w:cs="黑体"/>
          <w:color w:val="000000" w:themeColor="text1"/>
          <w:sz w:val="32"/>
          <w:szCs w:val="32"/>
        </w:rPr>
      </w:pPr>
      <w:r>
        <w:rPr>
          <w:rFonts w:hint="eastAsia" w:ascii="仿宋_GB2312" w:hAnsi="华文楷体" w:eastAsia="仿宋_GB2312" w:cs="黑体"/>
          <w:color w:val="000000" w:themeColor="text1"/>
          <w:sz w:val="32"/>
          <w:szCs w:val="32"/>
        </w:rPr>
        <w:t>附件4：</w:t>
      </w:r>
    </w:p>
    <w:p>
      <w:pPr>
        <w:spacing w:beforeLines="50" w:afterLines="50" w:line="300" w:lineRule="exact"/>
        <w:ind w:firstLine="541" w:firstLineChars="150"/>
        <w:jc w:val="center"/>
        <w:rPr>
          <w:rFonts w:ascii="华文中宋" w:hAnsi="华文中宋" w:eastAsia="华文中宋" w:cs="黑体"/>
          <w:b/>
          <w:color w:val="000000" w:themeColor="text1"/>
          <w:sz w:val="32"/>
          <w:szCs w:val="32"/>
        </w:rPr>
      </w:pPr>
      <w:r>
        <w:rPr>
          <w:rFonts w:hint="eastAsia" w:ascii="华文中宋" w:hAnsi="华文中宋" w:eastAsia="华文中宋" w:cs="黑体"/>
          <w:b/>
          <w:color w:val="000000" w:themeColor="text1"/>
          <w:sz w:val="36"/>
          <w:szCs w:val="32"/>
        </w:rPr>
        <w:t>汉语国际教育硕士授权点专项评估自评打分表</w:t>
      </w:r>
    </w:p>
    <w:p>
      <w:pPr>
        <w:spacing w:beforeLines="50" w:afterLines="50" w:line="360" w:lineRule="exact"/>
        <w:ind w:firstLine="480" w:firstLineChars="150"/>
        <w:rPr>
          <w:rFonts w:ascii="仿宋_GB2312" w:hAnsi="华文楷体" w:eastAsia="仿宋_GB2312" w:cs="黑体"/>
          <w:color w:val="000000" w:themeColor="text1"/>
          <w:sz w:val="32"/>
          <w:szCs w:val="32"/>
          <w:u w:val="single"/>
        </w:rPr>
      </w:pPr>
      <w:r>
        <w:rPr>
          <w:rFonts w:hint="eastAsia" w:ascii="仿宋_GB2312" w:hAnsi="华文楷体" w:eastAsia="仿宋_GB2312" w:cs="黑体"/>
          <w:color w:val="000000" w:themeColor="text1"/>
          <w:sz w:val="32"/>
          <w:szCs w:val="32"/>
        </w:rPr>
        <w:t>培养单位：</w:t>
      </w:r>
      <w:r>
        <w:rPr>
          <w:rFonts w:hint="eastAsia" w:ascii="仿宋_GB2312" w:hAnsi="华文楷体" w:eastAsia="仿宋_GB2312" w:cs="黑体"/>
          <w:b/>
          <w:color w:val="000000" w:themeColor="text1"/>
          <w:sz w:val="32"/>
          <w:szCs w:val="32"/>
        </w:rPr>
        <w:t>签字盖章：</w:t>
      </w:r>
    </w:p>
    <w:tbl>
      <w:tblPr>
        <w:tblStyle w:val="30"/>
        <w:tblW w:w="9462" w:type="dxa"/>
        <w:jc w:val="center"/>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076"/>
        <w:gridCol w:w="3450"/>
        <w:gridCol w:w="960"/>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exact"/>
          <w:jc w:val="center"/>
        </w:trPr>
        <w:tc>
          <w:tcPr>
            <w:tcW w:w="1860" w:type="dxa"/>
            <w:vAlign w:val="center"/>
          </w:tcPr>
          <w:p>
            <w:pPr>
              <w:spacing w:beforeLines="50" w:afterLines="50" w:line="200" w:lineRule="exact"/>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一级指标</w:t>
            </w:r>
          </w:p>
        </w:tc>
        <w:tc>
          <w:tcPr>
            <w:tcW w:w="2076" w:type="dxa"/>
            <w:vAlign w:val="center"/>
          </w:tcPr>
          <w:p>
            <w:pPr>
              <w:spacing w:beforeLines="50" w:afterLines="50" w:line="200" w:lineRule="exact"/>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二级指标</w:t>
            </w:r>
          </w:p>
        </w:tc>
        <w:tc>
          <w:tcPr>
            <w:tcW w:w="3450" w:type="dxa"/>
            <w:vAlign w:val="center"/>
          </w:tcPr>
          <w:p>
            <w:pPr>
              <w:spacing w:beforeLines="50" w:afterLines="50" w:line="200" w:lineRule="exact"/>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三级指标</w:t>
            </w:r>
          </w:p>
        </w:tc>
        <w:tc>
          <w:tcPr>
            <w:tcW w:w="960" w:type="dxa"/>
            <w:vAlign w:val="center"/>
          </w:tcPr>
          <w:p>
            <w:pPr>
              <w:spacing w:beforeLines="50" w:afterLines="50" w:line="200" w:lineRule="exact"/>
              <w:ind w:left="57" w:leftChars="-51" w:hanging="164" w:hangingChars="51"/>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小分</w:t>
            </w:r>
          </w:p>
        </w:tc>
        <w:tc>
          <w:tcPr>
            <w:tcW w:w="1116" w:type="dxa"/>
          </w:tcPr>
          <w:p>
            <w:pPr>
              <w:spacing w:beforeLines="50" w:afterLines="50" w:line="200" w:lineRule="exact"/>
              <w:ind w:left="-50" w:leftChars="-102" w:hanging="164" w:hangingChars="51"/>
              <w:jc w:val="center"/>
              <w:rPr>
                <w:rFonts w:ascii="仿宋_GB2312" w:hAnsi="仿宋" w:eastAsia="仿宋_GB2312" w:cs="黑体"/>
                <w:b/>
                <w:color w:val="000000" w:themeColor="text1"/>
                <w:sz w:val="32"/>
                <w:szCs w:val="32"/>
              </w:rPr>
            </w:pPr>
            <w:r>
              <w:rPr>
                <w:rFonts w:hint="eastAsia" w:ascii="仿宋_GB2312" w:hAnsi="仿宋" w:eastAsia="仿宋_GB2312" w:cs="黑体"/>
                <w:b/>
                <w:color w:val="000000" w:themeColor="text1"/>
                <w:sz w:val="32"/>
                <w:szCs w:val="32"/>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办学定位</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15分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培养理念</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目标与定位        6分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改革举措          4分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tcPr>
          <w:p>
            <w:pPr>
              <w:spacing w:beforeLines="50" w:afterLines="50" w:line="26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办学特色</w:t>
            </w:r>
          </w:p>
          <w:p>
            <w:pPr>
              <w:spacing w:beforeLines="50" w:afterLines="50" w:line="26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5分</w:t>
            </w:r>
          </w:p>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优势与特色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发展潜力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课程教学</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20分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课程设置</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课程结构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特色课程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教学方式</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案例教学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技能训练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实践环节</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30分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实践活动</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教学实践          6分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文化实践          4分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教学实习</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实习基地建设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实习安排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实践成效10分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论文写作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实践参与          5分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培养成果</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获奖情况5分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学科获奖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学生获奖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就业质量5分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就业率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行业相关率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师资队伍</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国际化5分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国外教师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lef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教师国外经历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多样化5分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学科背景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职业背景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exact"/>
          <w:jc w:val="center"/>
        </w:trPr>
        <w:tc>
          <w:tcPr>
            <w:tcW w:w="1860" w:type="dxa"/>
            <w:vMerge w:val="restart"/>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学风建设</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5分</w:t>
            </w:r>
          </w:p>
        </w:tc>
        <w:tc>
          <w:tcPr>
            <w:tcW w:w="2076"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师德师风2分</w:t>
            </w:r>
          </w:p>
        </w:tc>
        <w:tc>
          <w:tcPr>
            <w:tcW w:w="3450"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师德育人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1860"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2076" w:type="dxa"/>
            <w:vAlign w:val="center"/>
          </w:tcPr>
          <w:p>
            <w:pPr>
              <w:spacing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学风 3分</w:t>
            </w:r>
          </w:p>
        </w:tc>
        <w:tc>
          <w:tcPr>
            <w:tcW w:w="3450" w:type="dxa"/>
            <w:vAlign w:val="center"/>
          </w:tcPr>
          <w:p>
            <w:pPr>
              <w:spacing w:line="300" w:lineRule="exac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 xml:space="preserve">思想道德及学术规范 3分   </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tcPr>
          <w:p>
            <w:pPr>
              <w:spacing w:beforeLines="50" w:afterLines="50"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exact"/>
          <w:jc w:val="center"/>
        </w:trPr>
        <w:tc>
          <w:tcPr>
            <w:tcW w:w="1860"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管理保障</w:t>
            </w:r>
          </w:p>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10分</w:t>
            </w: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管理5分</w:t>
            </w:r>
          </w:p>
        </w:tc>
        <w:tc>
          <w:tcPr>
            <w:tcW w:w="3450" w:type="dxa"/>
            <w:vAlign w:val="center"/>
          </w:tcPr>
          <w:p>
            <w:pPr>
              <w:spacing w:line="300" w:lineRule="exac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管理体制与机制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restart"/>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exact"/>
          <w:jc w:val="center"/>
        </w:trPr>
        <w:tc>
          <w:tcPr>
            <w:tcW w:w="1860" w:type="dxa"/>
            <w:vMerge w:val="continue"/>
            <w:vAlign w:val="center"/>
          </w:tcPr>
          <w:p>
            <w:pPr>
              <w:spacing w:line="3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beforeLines="50" w:afterLines="50" w:line="300" w:lineRule="exact"/>
              <w:jc w:val="center"/>
              <w:rPr>
                <w:rFonts w:ascii="仿宋_GB2312" w:hAnsi="仿宋" w:eastAsia="仿宋_GB2312" w:cs="黑体"/>
                <w:color w:val="000000" w:themeColor="text1"/>
                <w:sz w:val="28"/>
                <w:szCs w:val="32"/>
              </w:rPr>
            </w:pPr>
          </w:p>
        </w:tc>
        <w:tc>
          <w:tcPr>
            <w:tcW w:w="3450" w:type="dxa"/>
            <w:vAlign w:val="center"/>
          </w:tcPr>
          <w:p>
            <w:pPr>
              <w:spacing w:line="300" w:lineRule="exac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管理制度          2分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line="300" w:lineRule="exact"/>
              <w:jc w:val="center"/>
              <w:rPr>
                <w:rFonts w:ascii="仿宋_GB2312" w:hAnsi="仿宋" w:eastAsia="仿宋_GB2312" w:cs="黑体"/>
                <w:color w:val="000000" w:themeColor="text1"/>
                <w:sz w:val="28"/>
                <w:szCs w:val="32"/>
              </w:rPr>
            </w:pPr>
          </w:p>
        </w:tc>
        <w:tc>
          <w:tcPr>
            <w:tcW w:w="2076" w:type="dxa"/>
            <w:vMerge w:val="restart"/>
            <w:vAlign w:val="center"/>
          </w:tcPr>
          <w:p>
            <w:pPr>
              <w:spacing w:beforeLines="50" w:afterLines="50" w:line="3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保障5分</w:t>
            </w:r>
          </w:p>
        </w:tc>
        <w:tc>
          <w:tcPr>
            <w:tcW w:w="3450" w:type="dxa"/>
            <w:vAlign w:val="center"/>
          </w:tcPr>
          <w:p>
            <w:pPr>
              <w:spacing w:line="300" w:lineRule="exac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内部质量保障机制  3分</w:t>
            </w:r>
          </w:p>
        </w:tc>
        <w:tc>
          <w:tcPr>
            <w:tcW w:w="960" w:type="dxa"/>
            <w:vAlign w:val="center"/>
          </w:tcPr>
          <w:p>
            <w:pPr>
              <w:spacing w:beforeLines="50" w:afterLines="50" w:line="3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3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1860" w:type="dxa"/>
            <w:vMerge w:val="continue"/>
            <w:vAlign w:val="center"/>
          </w:tcPr>
          <w:p>
            <w:pPr>
              <w:spacing w:line="200" w:lineRule="exact"/>
              <w:jc w:val="center"/>
              <w:rPr>
                <w:rFonts w:ascii="仿宋_GB2312" w:hAnsi="仿宋" w:eastAsia="仿宋_GB2312" w:cs="黑体"/>
                <w:color w:val="000000" w:themeColor="text1"/>
                <w:sz w:val="28"/>
                <w:szCs w:val="32"/>
              </w:rPr>
            </w:pPr>
          </w:p>
        </w:tc>
        <w:tc>
          <w:tcPr>
            <w:tcW w:w="2076" w:type="dxa"/>
            <w:vMerge w:val="continue"/>
            <w:vAlign w:val="center"/>
          </w:tcPr>
          <w:p>
            <w:pPr>
              <w:spacing w:line="200" w:lineRule="exact"/>
              <w:jc w:val="center"/>
              <w:rPr>
                <w:rFonts w:ascii="仿宋_GB2312" w:hAnsi="仿宋" w:eastAsia="仿宋_GB2312" w:cs="黑体"/>
                <w:color w:val="000000" w:themeColor="text1"/>
                <w:sz w:val="28"/>
                <w:szCs w:val="32"/>
              </w:rPr>
            </w:pPr>
          </w:p>
        </w:tc>
        <w:tc>
          <w:tcPr>
            <w:tcW w:w="3450" w:type="dxa"/>
            <w:vAlign w:val="center"/>
          </w:tcPr>
          <w:p>
            <w:pPr>
              <w:spacing w:line="360" w:lineRule="exact"/>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设施与服务        2分</w:t>
            </w:r>
          </w:p>
        </w:tc>
        <w:tc>
          <w:tcPr>
            <w:tcW w:w="960" w:type="dxa"/>
            <w:vAlign w:val="center"/>
          </w:tcPr>
          <w:p>
            <w:pPr>
              <w:spacing w:beforeLines="50" w:afterLines="50" w:line="200" w:lineRule="exact"/>
              <w:ind w:left="110"/>
              <w:jc w:val="center"/>
              <w:rPr>
                <w:rFonts w:ascii="仿宋_GB2312" w:hAnsi="Calibri" w:eastAsia="仿宋_GB2312" w:cs="黑体"/>
                <w:color w:val="000000" w:themeColor="text1"/>
                <w:sz w:val="28"/>
                <w:szCs w:val="32"/>
              </w:rPr>
            </w:pPr>
          </w:p>
        </w:tc>
        <w:tc>
          <w:tcPr>
            <w:tcW w:w="1116" w:type="dxa"/>
            <w:vMerge w:val="continue"/>
          </w:tcPr>
          <w:p>
            <w:pPr>
              <w:spacing w:line="200" w:lineRule="exact"/>
              <w:ind w:left="110"/>
              <w:jc w:val="center"/>
              <w:rPr>
                <w:rFonts w:ascii="仿宋_GB2312" w:hAnsi="Calibri" w:eastAsia="仿宋_GB2312" w:cs="黑体"/>
                <w:color w:val="000000" w:themeColor="text1"/>
                <w:sz w:val="28"/>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7386" w:type="dxa"/>
            <w:gridSpan w:val="3"/>
            <w:vAlign w:val="center"/>
          </w:tcPr>
          <w:p>
            <w:pPr>
              <w:spacing w:beforeLines="50" w:afterLines="50" w:line="200" w:lineRule="exact"/>
              <w:jc w:val="center"/>
              <w:rPr>
                <w:rFonts w:ascii="仿宋_GB2312" w:hAnsi="仿宋" w:eastAsia="仿宋_GB2312" w:cs="黑体"/>
                <w:color w:val="000000" w:themeColor="text1"/>
                <w:sz w:val="28"/>
                <w:szCs w:val="32"/>
              </w:rPr>
            </w:pPr>
            <w:r>
              <w:rPr>
                <w:rFonts w:hint="eastAsia" w:ascii="仿宋_GB2312" w:hAnsi="仿宋" w:eastAsia="仿宋_GB2312" w:cs="黑体"/>
                <w:color w:val="000000" w:themeColor="text1"/>
                <w:sz w:val="28"/>
                <w:szCs w:val="32"/>
              </w:rPr>
              <w:t>总分</w:t>
            </w:r>
          </w:p>
        </w:tc>
        <w:tc>
          <w:tcPr>
            <w:tcW w:w="2076" w:type="dxa"/>
            <w:gridSpan w:val="2"/>
            <w:vAlign w:val="center"/>
          </w:tcPr>
          <w:p>
            <w:pPr>
              <w:spacing w:line="200" w:lineRule="exact"/>
              <w:ind w:left="110"/>
              <w:jc w:val="center"/>
              <w:rPr>
                <w:rFonts w:ascii="仿宋_GB2312" w:hAnsi="Calibri" w:eastAsia="仿宋_GB2312" w:cs="黑体"/>
                <w:color w:val="000000" w:themeColor="text1"/>
                <w:sz w:val="28"/>
                <w:szCs w:val="32"/>
              </w:rPr>
            </w:pPr>
          </w:p>
        </w:tc>
      </w:tr>
    </w:tbl>
    <w:p>
      <w:pPr>
        <w:spacing w:line="480" w:lineRule="auto"/>
        <w:jc w:val="left"/>
        <w:outlineLvl w:val="0"/>
        <w:rPr>
          <w:rFonts w:ascii="仿宋_GB2312" w:hAnsi="Calibri" w:eastAsia="仿宋_GB2312" w:cs="黑体"/>
          <w:bCs/>
          <w:color w:val="000000" w:themeColor="text1"/>
          <w:sz w:val="32"/>
          <w:szCs w:val="32"/>
        </w:rPr>
        <w:sectPr>
          <w:pgSz w:w="11906" w:h="16838"/>
          <w:pgMar w:top="1304" w:right="1077" w:bottom="1304" w:left="1077" w:header="851" w:footer="992" w:gutter="0"/>
          <w:cols w:space="425" w:num="1"/>
          <w:docGrid w:type="lines" w:linePitch="312" w:charSpace="0"/>
        </w:sectPr>
      </w:pPr>
    </w:p>
    <w:p>
      <w:pPr>
        <w:spacing w:line="480" w:lineRule="auto"/>
        <w:jc w:val="left"/>
        <w:outlineLvl w:val="0"/>
        <w:rPr>
          <w:rFonts w:ascii="仿宋_GB2312" w:hAnsi="华文楷体" w:eastAsia="仿宋_GB2312" w:cs="黑体"/>
          <w:bCs/>
          <w:color w:val="000000" w:themeColor="text1"/>
          <w:sz w:val="32"/>
          <w:szCs w:val="32"/>
        </w:rPr>
      </w:pPr>
      <w:r>
        <w:rPr>
          <w:rFonts w:hint="eastAsia" w:ascii="仿宋_GB2312" w:hAnsi="华文楷体" w:eastAsia="仿宋_GB2312" w:cs="黑体"/>
          <w:bCs/>
          <w:color w:val="000000" w:themeColor="text1"/>
          <w:sz w:val="32"/>
          <w:szCs w:val="32"/>
        </w:rPr>
        <w:t>附件5：</w:t>
      </w:r>
    </w:p>
    <w:p>
      <w:pPr>
        <w:spacing w:line="360" w:lineRule="exact"/>
        <w:ind w:firstLine="539"/>
        <w:jc w:val="center"/>
        <w:outlineLvl w:val="0"/>
        <w:rPr>
          <w:rFonts w:ascii="华文中宋" w:hAnsi="华文中宋" w:eastAsia="华文中宋" w:cs="黑体"/>
          <w:b/>
          <w:color w:val="000000" w:themeColor="text1"/>
          <w:kern w:val="0"/>
          <w:sz w:val="36"/>
          <w:szCs w:val="32"/>
        </w:rPr>
      </w:pPr>
      <w:r>
        <w:rPr>
          <w:rFonts w:hint="eastAsia" w:ascii="华文中宋" w:hAnsi="华文中宋" w:eastAsia="华文中宋" w:cs="黑体"/>
          <w:b/>
          <w:color w:val="000000" w:themeColor="text1"/>
          <w:kern w:val="0"/>
          <w:sz w:val="36"/>
          <w:szCs w:val="32"/>
        </w:rPr>
        <w:t>汉语国际教育硕士专业学位授权点评估数据汇总表</w:t>
      </w:r>
    </w:p>
    <w:p>
      <w:pPr>
        <w:spacing w:afterLines="50" w:line="360" w:lineRule="exact"/>
        <w:jc w:val="left"/>
        <w:rPr>
          <w:rFonts w:ascii="仿宋_GB2312" w:hAnsi="Calibri" w:eastAsia="仿宋_GB2312" w:cs="黑体"/>
          <w:b/>
          <w:color w:val="000000" w:themeColor="text1"/>
          <w:sz w:val="32"/>
          <w:szCs w:val="32"/>
        </w:rPr>
      </w:pPr>
    </w:p>
    <w:p>
      <w:pPr>
        <w:spacing w:afterLines="50" w:line="360" w:lineRule="exact"/>
        <w:jc w:val="center"/>
        <w:rPr>
          <w:rFonts w:ascii="仿宋_GB2312" w:hAnsi="Calibri" w:eastAsia="仿宋_GB2312" w:cs="黑体"/>
          <w:b/>
          <w:color w:val="000000" w:themeColor="text1"/>
          <w:kern w:val="0"/>
          <w:sz w:val="32"/>
          <w:szCs w:val="32"/>
        </w:rPr>
      </w:pPr>
      <w:r>
        <w:rPr>
          <w:rFonts w:hint="eastAsia" w:ascii="仿宋_GB2312" w:hAnsi="Calibri" w:eastAsia="仿宋_GB2312" w:cs="黑体"/>
          <w:b/>
          <w:color w:val="000000" w:themeColor="text1"/>
          <w:kern w:val="0"/>
          <w:sz w:val="32"/>
          <w:szCs w:val="32"/>
        </w:rPr>
        <w:t>表I   近3年教师队伍结构及成果汇总表</w:t>
      </w:r>
    </w:p>
    <w:tbl>
      <w:tblPr>
        <w:tblStyle w:val="30"/>
        <w:tblW w:w="11128" w:type="dxa"/>
        <w:jc w:val="center"/>
        <w:tblInd w:w="-1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083"/>
        <w:gridCol w:w="893"/>
        <w:gridCol w:w="700"/>
        <w:gridCol w:w="661"/>
        <w:gridCol w:w="679"/>
        <w:gridCol w:w="825"/>
        <w:gridCol w:w="933"/>
        <w:gridCol w:w="945"/>
        <w:gridCol w:w="797"/>
        <w:gridCol w:w="669"/>
        <w:gridCol w:w="670"/>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1128" w:type="dxa"/>
            <w:gridSpan w:val="13"/>
            <w:tcBorders>
              <w:top w:val="single" w:color="auto" w:sz="12" w:space="0"/>
              <w:left w:val="single" w:color="auto" w:sz="12" w:space="0"/>
              <w:bottom w:val="single" w:color="auto" w:sz="12" w:space="0"/>
              <w:right w:val="single" w:color="auto" w:sz="12" w:space="0"/>
            </w:tcBorders>
            <w:vAlign w:val="center"/>
          </w:tcPr>
          <w:p>
            <w:pPr>
              <w:spacing w:line="320" w:lineRule="exact"/>
              <w:jc w:val="left"/>
              <w:rPr>
                <w:rFonts w:ascii="仿宋_GB2312" w:hAnsi="黑体" w:eastAsia="仿宋_GB2312" w:cs="黑体"/>
                <w:b/>
                <w:color w:val="000000" w:themeColor="text1"/>
                <w:sz w:val="32"/>
                <w:szCs w:val="32"/>
              </w:rPr>
            </w:pPr>
            <w:r>
              <w:rPr>
                <w:rFonts w:hint="eastAsia" w:ascii="仿宋_GB2312" w:hAnsi="黑体" w:eastAsia="仿宋_GB2312" w:cs="黑体"/>
                <w:b/>
                <w:bCs/>
                <w:color w:val="000000" w:themeColor="text1"/>
                <w:sz w:val="32"/>
                <w:szCs w:val="32"/>
              </w:rPr>
              <w:t>I</w:t>
            </w:r>
            <w:r>
              <w:rPr>
                <w:rFonts w:hint="eastAsia" w:ascii="仿宋_GB2312" w:hAnsi="黑体" w:eastAsia="仿宋_GB2312" w:cs="黑体"/>
                <w:b/>
                <w:color w:val="000000" w:themeColor="text1"/>
                <w:sz w:val="32"/>
                <w:szCs w:val="32"/>
              </w:rPr>
              <w:t>-1</w:t>
            </w:r>
            <w:r>
              <w:rPr>
                <w:rFonts w:hint="eastAsia" w:ascii="仿宋_GB2312" w:hAnsi="黑体" w:eastAsia="仿宋_GB2312" w:cs="黑体"/>
                <w:b/>
                <w:bCs/>
                <w:color w:val="000000" w:themeColor="text1"/>
                <w:sz w:val="32"/>
                <w:szCs w:val="32"/>
              </w:rPr>
              <w:t>专职教师基本情况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1529" w:type="dxa"/>
            <w:tcBorders>
              <w:top w:val="single" w:color="auto" w:sz="12" w:space="0"/>
              <w:left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专业职务</w:t>
            </w:r>
          </w:p>
        </w:tc>
        <w:tc>
          <w:tcPr>
            <w:tcW w:w="1083" w:type="dxa"/>
            <w:tcBorders>
              <w:top w:val="single" w:color="auto" w:sz="12"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专职教师人数合计</w:t>
            </w:r>
          </w:p>
        </w:tc>
        <w:tc>
          <w:tcPr>
            <w:tcW w:w="893" w:type="dxa"/>
            <w:tcBorders>
              <w:top w:val="single" w:color="auto" w:sz="12" w:space="0"/>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35岁</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及以下</w:t>
            </w:r>
          </w:p>
        </w:tc>
        <w:tc>
          <w:tcPr>
            <w:tcW w:w="700" w:type="dxa"/>
            <w:tcBorders>
              <w:top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36至</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45岁</w:t>
            </w:r>
          </w:p>
        </w:tc>
        <w:tc>
          <w:tcPr>
            <w:tcW w:w="661" w:type="dxa"/>
            <w:tcBorders>
              <w:top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46至</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55岁</w:t>
            </w:r>
          </w:p>
        </w:tc>
        <w:tc>
          <w:tcPr>
            <w:tcW w:w="679" w:type="dxa"/>
            <w:tcBorders>
              <w:top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56至</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60岁</w:t>
            </w:r>
          </w:p>
        </w:tc>
        <w:tc>
          <w:tcPr>
            <w:tcW w:w="825" w:type="dxa"/>
            <w:tcBorders>
              <w:top w:val="single" w:color="auto" w:sz="12"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61岁</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及以上</w:t>
            </w:r>
          </w:p>
        </w:tc>
        <w:tc>
          <w:tcPr>
            <w:tcW w:w="933" w:type="dxa"/>
            <w:tcBorders>
              <w:top w:val="single" w:color="auto" w:sz="12" w:space="0"/>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女性</w:t>
            </w:r>
          </w:p>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人数</w:t>
            </w:r>
          </w:p>
        </w:tc>
        <w:tc>
          <w:tcPr>
            <w:tcW w:w="945" w:type="dxa"/>
            <w:tcBorders>
              <w:top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男性人数</w:t>
            </w:r>
          </w:p>
        </w:tc>
        <w:tc>
          <w:tcPr>
            <w:tcW w:w="797" w:type="dxa"/>
            <w:tcBorders>
              <w:top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具有博士学位人数</w:t>
            </w:r>
          </w:p>
        </w:tc>
        <w:tc>
          <w:tcPr>
            <w:tcW w:w="669" w:type="dxa"/>
            <w:tcBorders>
              <w:top w:val="single" w:color="auto" w:sz="12"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具有海外经历人数</w:t>
            </w:r>
          </w:p>
        </w:tc>
        <w:tc>
          <w:tcPr>
            <w:tcW w:w="670" w:type="dxa"/>
            <w:tcBorders>
              <w:top w:val="single" w:color="auto" w:sz="12"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外籍教师人数</w:t>
            </w:r>
          </w:p>
        </w:tc>
        <w:tc>
          <w:tcPr>
            <w:tcW w:w="744" w:type="dxa"/>
            <w:tcBorders>
              <w:top w:val="single" w:color="auto" w:sz="12" w:space="0"/>
              <w:left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28"/>
                <w:szCs w:val="32"/>
              </w:rPr>
            </w:pPr>
            <w:r>
              <w:rPr>
                <w:rFonts w:hint="eastAsia" w:ascii="仿宋_GB2312" w:hAnsi="Calibri" w:eastAsia="仿宋_GB2312" w:cs="黑体"/>
                <w:b/>
                <w:color w:val="000000" w:themeColor="text1"/>
                <w:sz w:val="28"/>
                <w:szCs w:val="32"/>
              </w:rPr>
              <w:t>硕导人数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jc w:val="center"/>
        </w:trPr>
        <w:tc>
          <w:tcPr>
            <w:tcW w:w="1529" w:type="dxa"/>
            <w:tcBorders>
              <w:left w:val="single" w:color="auto" w:sz="12" w:space="0"/>
            </w:tcBorders>
            <w:vAlign w:val="center"/>
          </w:tcPr>
          <w:p>
            <w:pPr>
              <w:widowControl/>
              <w:adjustRightInd w:val="0"/>
              <w:snapToGrid w:val="0"/>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正高级</w:t>
            </w:r>
          </w:p>
        </w:tc>
        <w:tc>
          <w:tcPr>
            <w:tcW w:w="1083"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15</w:t>
            </w:r>
          </w:p>
        </w:tc>
        <w:tc>
          <w:tcPr>
            <w:tcW w:w="89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00"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661"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9</w:t>
            </w:r>
          </w:p>
        </w:tc>
        <w:tc>
          <w:tcPr>
            <w:tcW w:w="679"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825"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93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8</w:t>
            </w:r>
          </w:p>
        </w:tc>
        <w:tc>
          <w:tcPr>
            <w:tcW w:w="945"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7</w:t>
            </w:r>
          </w:p>
        </w:tc>
        <w:tc>
          <w:tcPr>
            <w:tcW w:w="797"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7</w:t>
            </w:r>
          </w:p>
        </w:tc>
        <w:tc>
          <w:tcPr>
            <w:tcW w:w="669"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8</w:t>
            </w:r>
          </w:p>
        </w:tc>
        <w:tc>
          <w:tcPr>
            <w:tcW w:w="670"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44" w:type="dxa"/>
            <w:tcBorders>
              <w:left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29" w:type="dxa"/>
            <w:tcBorders>
              <w:left w:val="single" w:color="auto" w:sz="12" w:space="0"/>
            </w:tcBorders>
            <w:vAlign w:val="center"/>
          </w:tcPr>
          <w:p>
            <w:pPr>
              <w:widowControl/>
              <w:adjustRightInd w:val="0"/>
              <w:snapToGrid w:val="0"/>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副高级</w:t>
            </w:r>
          </w:p>
        </w:tc>
        <w:tc>
          <w:tcPr>
            <w:tcW w:w="1083"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18</w:t>
            </w:r>
          </w:p>
        </w:tc>
        <w:tc>
          <w:tcPr>
            <w:tcW w:w="89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00"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12</w:t>
            </w:r>
          </w:p>
        </w:tc>
        <w:tc>
          <w:tcPr>
            <w:tcW w:w="661"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6</w:t>
            </w:r>
          </w:p>
        </w:tc>
        <w:tc>
          <w:tcPr>
            <w:tcW w:w="679"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825"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93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12</w:t>
            </w:r>
          </w:p>
        </w:tc>
        <w:tc>
          <w:tcPr>
            <w:tcW w:w="945"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6</w:t>
            </w:r>
          </w:p>
        </w:tc>
        <w:tc>
          <w:tcPr>
            <w:tcW w:w="797"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11</w:t>
            </w:r>
          </w:p>
        </w:tc>
        <w:tc>
          <w:tcPr>
            <w:tcW w:w="669"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14</w:t>
            </w:r>
          </w:p>
        </w:tc>
        <w:tc>
          <w:tcPr>
            <w:tcW w:w="670"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44" w:type="dxa"/>
            <w:tcBorders>
              <w:left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529" w:type="dxa"/>
            <w:tcBorders>
              <w:left w:val="single" w:color="auto" w:sz="12" w:space="0"/>
            </w:tcBorders>
            <w:vAlign w:val="center"/>
          </w:tcPr>
          <w:p>
            <w:pPr>
              <w:widowControl/>
              <w:adjustRightInd w:val="0"/>
              <w:snapToGrid w:val="0"/>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中级</w:t>
            </w:r>
          </w:p>
        </w:tc>
        <w:tc>
          <w:tcPr>
            <w:tcW w:w="1083"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7</w:t>
            </w:r>
          </w:p>
        </w:tc>
        <w:tc>
          <w:tcPr>
            <w:tcW w:w="89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3</w:t>
            </w:r>
          </w:p>
        </w:tc>
        <w:tc>
          <w:tcPr>
            <w:tcW w:w="700"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4</w:t>
            </w:r>
          </w:p>
        </w:tc>
        <w:tc>
          <w:tcPr>
            <w:tcW w:w="661"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679"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825" w:type="dxa"/>
            <w:tcBorders>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933" w:type="dxa"/>
            <w:tcBorders>
              <w:lef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5</w:t>
            </w:r>
          </w:p>
        </w:tc>
        <w:tc>
          <w:tcPr>
            <w:tcW w:w="945"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797" w:type="dxa"/>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3</w:t>
            </w:r>
          </w:p>
        </w:tc>
        <w:tc>
          <w:tcPr>
            <w:tcW w:w="669"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7</w:t>
            </w:r>
          </w:p>
        </w:tc>
        <w:tc>
          <w:tcPr>
            <w:tcW w:w="670" w:type="dxa"/>
            <w:tcBorders>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44" w:type="dxa"/>
            <w:tcBorders>
              <w:left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529" w:type="dxa"/>
            <w:tcBorders>
              <w:left w:val="single" w:color="auto" w:sz="12" w:space="0"/>
              <w:bottom w:val="single" w:color="auto" w:sz="4" w:space="0"/>
            </w:tcBorders>
            <w:vAlign w:val="center"/>
          </w:tcPr>
          <w:p>
            <w:pPr>
              <w:widowControl/>
              <w:adjustRightInd w:val="0"/>
              <w:snapToGrid w:val="0"/>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初级</w:t>
            </w:r>
          </w:p>
        </w:tc>
        <w:tc>
          <w:tcPr>
            <w:tcW w:w="1083" w:type="dxa"/>
            <w:tcBorders>
              <w:bottom w:val="sing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893" w:type="dxa"/>
            <w:tcBorders>
              <w:left w:val="double" w:color="auto" w:sz="4" w:space="0"/>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00"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661"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679"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825" w:type="dxa"/>
            <w:tcBorders>
              <w:bottom w:val="sing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933" w:type="dxa"/>
            <w:tcBorders>
              <w:left w:val="double" w:color="auto" w:sz="4" w:space="0"/>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945"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97"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669" w:type="dxa"/>
            <w:tcBorders>
              <w:bottom w:val="sing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670" w:type="dxa"/>
            <w:tcBorders>
              <w:bottom w:val="sing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44" w:type="dxa"/>
            <w:tcBorders>
              <w:left w:val="single" w:color="auto" w:sz="4" w:space="0"/>
              <w:bottom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529" w:type="dxa"/>
            <w:tcBorders>
              <w:left w:val="single" w:color="auto" w:sz="12" w:space="0"/>
              <w:bottom w:val="single" w:color="auto" w:sz="4" w:space="0"/>
            </w:tcBorders>
            <w:vAlign w:val="center"/>
          </w:tcPr>
          <w:p>
            <w:pPr>
              <w:widowControl/>
              <w:adjustRightInd w:val="0"/>
              <w:snapToGrid w:val="0"/>
              <w:jc w:val="center"/>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无</w:t>
            </w:r>
          </w:p>
        </w:tc>
        <w:tc>
          <w:tcPr>
            <w:tcW w:w="1083" w:type="dxa"/>
            <w:tcBorders>
              <w:bottom w:val="sing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893" w:type="dxa"/>
            <w:tcBorders>
              <w:left w:val="double" w:color="auto" w:sz="4" w:space="0"/>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700"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661"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679"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825" w:type="dxa"/>
            <w:tcBorders>
              <w:bottom w:val="sing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933" w:type="dxa"/>
            <w:tcBorders>
              <w:left w:val="double" w:color="auto" w:sz="4" w:space="0"/>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945"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797" w:type="dxa"/>
            <w:tcBorders>
              <w:bottom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669" w:type="dxa"/>
            <w:tcBorders>
              <w:bottom w:val="sing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670" w:type="dxa"/>
            <w:tcBorders>
              <w:bottom w:val="sing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c>
          <w:tcPr>
            <w:tcW w:w="744" w:type="dxa"/>
            <w:tcBorders>
              <w:left w:val="single" w:color="auto" w:sz="4" w:space="0"/>
              <w:bottom w:val="sing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529" w:type="dxa"/>
            <w:tcBorders>
              <w:left w:val="single" w:color="auto" w:sz="12" w:space="0"/>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总计</w:t>
            </w:r>
          </w:p>
        </w:tc>
        <w:tc>
          <w:tcPr>
            <w:tcW w:w="1083" w:type="dxa"/>
            <w:tcBorders>
              <w:bottom w:val="doub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40</w:t>
            </w:r>
          </w:p>
        </w:tc>
        <w:tc>
          <w:tcPr>
            <w:tcW w:w="893" w:type="dxa"/>
            <w:tcBorders>
              <w:left w:val="double" w:color="auto" w:sz="4" w:space="0"/>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4</w:t>
            </w:r>
          </w:p>
        </w:tc>
        <w:tc>
          <w:tcPr>
            <w:tcW w:w="700" w:type="dxa"/>
            <w:tcBorders>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16</w:t>
            </w:r>
          </w:p>
        </w:tc>
        <w:tc>
          <w:tcPr>
            <w:tcW w:w="661" w:type="dxa"/>
            <w:tcBorders>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15</w:t>
            </w:r>
          </w:p>
        </w:tc>
        <w:tc>
          <w:tcPr>
            <w:tcW w:w="679" w:type="dxa"/>
            <w:tcBorders>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825" w:type="dxa"/>
            <w:tcBorders>
              <w:bottom w:val="double" w:color="auto" w:sz="4" w:space="0"/>
              <w:right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w:t>
            </w:r>
          </w:p>
        </w:tc>
        <w:tc>
          <w:tcPr>
            <w:tcW w:w="933" w:type="dxa"/>
            <w:tcBorders>
              <w:left w:val="double" w:color="auto" w:sz="4" w:space="0"/>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26</w:t>
            </w:r>
          </w:p>
        </w:tc>
        <w:tc>
          <w:tcPr>
            <w:tcW w:w="945" w:type="dxa"/>
            <w:tcBorders>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13</w:t>
            </w:r>
          </w:p>
        </w:tc>
        <w:tc>
          <w:tcPr>
            <w:tcW w:w="797" w:type="dxa"/>
            <w:tcBorders>
              <w:bottom w:val="doub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20</w:t>
            </w:r>
          </w:p>
        </w:tc>
        <w:tc>
          <w:tcPr>
            <w:tcW w:w="669" w:type="dxa"/>
            <w:tcBorders>
              <w:bottom w:val="doub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29</w:t>
            </w:r>
          </w:p>
        </w:tc>
        <w:tc>
          <w:tcPr>
            <w:tcW w:w="670" w:type="dxa"/>
            <w:tcBorders>
              <w:bottom w:val="double" w:color="auto" w:sz="4" w:space="0"/>
              <w:right w:val="single" w:color="auto" w:sz="4"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0</w:t>
            </w:r>
          </w:p>
        </w:tc>
        <w:tc>
          <w:tcPr>
            <w:tcW w:w="744" w:type="dxa"/>
            <w:tcBorders>
              <w:left w:val="single" w:color="auto" w:sz="4" w:space="0"/>
              <w:bottom w:val="double" w:color="auto" w:sz="4" w:space="0"/>
              <w:right w:val="single" w:color="auto" w:sz="12" w:space="0"/>
            </w:tcBorders>
            <w:vAlign w:val="center"/>
          </w:tcPr>
          <w:p>
            <w:pPr>
              <w:widowControl/>
              <w:adjustRightInd w:val="0"/>
              <w:snapToGrid w:val="0"/>
              <w:jc w:val="center"/>
              <w:rPr>
                <w:rFonts w:ascii="仿宋_GB2312" w:hAnsi="Calibri" w:eastAsia="仿宋_GB2312" w:cs="黑体"/>
                <w:b/>
                <w:color w:val="000000" w:themeColor="text1"/>
                <w:sz w:val="32"/>
                <w:szCs w:val="32"/>
              </w:rPr>
            </w:pPr>
            <w:r>
              <w:rPr>
                <w:rFonts w:hint="eastAsia" w:ascii="仿宋_GB2312" w:hAnsi="Calibri" w:eastAsia="仿宋_GB2312" w:cs="黑体"/>
                <w:b/>
                <w:color w:val="000000" w:themeColor="text1"/>
                <w:sz w:val="32"/>
                <w:szCs w:val="32"/>
              </w:rPr>
              <w:t>32</w:t>
            </w:r>
          </w:p>
        </w:tc>
      </w:tr>
    </w:tbl>
    <w:p>
      <w:pPr>
        <w:spacing w:line="400" w:lineRule="exact"/>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说明：1.本表填写近3年人事关系在本单位本学科的专职教师。</w:t>
      </w:r>
    </w:p>
    <w:p>
      <w:pPr>
        <w:spacing w:line="400" w:lineRule="exact"/>
        <w:ind w:left="630" w:leftChars="300"/>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2.“具有海外经历人数”是指在境外高校/研究机构获得学位，或在境外高校/研究机构从事教学、科研工作时间连续超过4个月的专职教师人数。</w:t>
      </w:r>
    </w:p>
    <w:p>
      <w:pPr>
        <w:spacing w:line="400" w:lineRule="exact"/>
        <w:ind w:left="630" w:leftChars="300"/>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3.海外教师仅统计与本单位签署全职工作合同的海外教师。</w:t>
      </w:r>
    </w:p>
    <w:p>
      <w:pPr>
        <w:spacing w:line="400" w:lineRule="exact"/>
        <w:ind w:left="630" w:leftChars="300"/>
        <w:rPr>
          <w:rFonts w:ascii="仿宋_GB2312" w:hAnsi="Calibri" w:eastAsia="仿宋_GB2312" w:cs="黑体"/>
          <w:color w:val="000000" w:themeColor="text1"/>
          <w:sz w:val="32"/>
          <w:szCs w:val="32"/>
        </w:rPr>
      </w:pPr>
      <w:r>
        <w:rPr>
          <w:rFonts w:hint="eastAsia" w:ascii="仿宋_GB2312" w:hAnsi="Calibri" w:eastAsia="仿宋_GB2312" w:cs="黑体"/>
          <w:color w:val="000000" w:themeColor="text1"/>
          <w:sz w:val="32"/>
          <w:szCs w:val="32"/>
        </w:rPr>
        <w:t>4.“兼职教师、短期人才项目”等情况，可在“其他师资队伍情况”栏中简要说明。</w:t>
      </w: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pPr>
    </w:p>
    <w:p>
      <w:pPr>
        <w:spacing w:line="400" w:lineRule="exact"/>
        <w:ind w:left="630" w:leftChars="300"/>
        <w:rPr>
          <w:rFonts w:ascii="仿宋_GB2312" w:hAnsi="Calibri" w:eastAsia="仿宋_GB2312" w:cs="黑体"/>
          <w:color w:val="000000" w:themeColor="text1"/>
          <w:sz w:val="32"/>
          <w:szCs w:val="32"/>
        </w:rPr>
        <w:sectPr>
          <w:pgSz w:w="11906" w:h="16838"/>
          <w:pgMar w:top="1134" w:right="1134" w:bottom="851" w:left="1134" w:header="0" w:footer="567" w:gutter="0"/>
          <w:cols w:space="425" w:num="1"/>
          <w:docGrid w:linePitch="312" w:charSpace="0"/>
        </w:sectPr>
      </w:pPr>
    </w:p>
    <w:p>
      <w:pPr>
        <w:spacing w:line="260" w:lineRule="exact"/>
        <w:rPr>
          <w:rFonts w:ascii="仿宋_GB2312" w:hAnsi="Calibri" w:eastAsia="仿宋_GB2312" w:cs="黑体"/>
          <w:color w:val="000000" w:themeColor="text1"/>
          <w:sz w:val="32"/>
          <w:szCs w:val="32"/>
        </w:rPr>
      </w:pPr>
    </w:p>
    <w:tbl>
      <w:tblPr>
        <w:tblStyle w:val="30"/>
        <w:tblW w:w="1449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954"/>
        <w:gridCol w:w="1176"/>
        <w:gridCol w:w="7"/>
        <w:gridCol w:w="538"/>
        <w:gridCol w:w="981"/>
        <w:gridCol w:w="988"/>
        <w:gridCol w:w="762"/>
        <w:gridCol w:w="1559"/>
        <w:gridCol w:w="993"/>
        <w:gridCol w:w="1511"/>
        <w:gridCol w:w="1108"/>
        <w:gridCol w:w="1777"/>
        <w:gridCol w:w="1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497" w:type="dxa"/>
            <w:gridSpan w:val="14"/>
            <w:tcBorders>
              <w:top w:val="single" w:color="auto" w:sz="12" w:space="0"/>
            </w:tcBorders>
            <w:vAlign w:val="center"/>
          </w:tcPr>
          <w:p>
            <w:pPr>
              <w:jc w:val="left"/>
              <w:rPr>
                <w:rFonts w:ascii="仿宋_GB2312" w:hAnsi="Calibri" w:eastAsia="仿宋_GB2312" w:cs="黑体"/>
                <w:b/>
                <w:color w:val="000000" w:themeColor="text1"/>
                <w:sz w:val="24"/>
                <w:szCs w:val="32"/>
              </w:rPr>
            </w:pPr>
            <w:r>
              <w:rPr>
                <w:rFonts w:hint="eastAsia" w:ascii="仿宋_GB2312" w:hAnsi="黑体" w:eastAsia="仿宋_GB2312" w:cs="黑体"/>
                <w:b/>
                <w:bCs/>
                <w:color w:val="000000" w:themeColor="text1"/>
                <w:sz w:val="32"/>
                <w:szCs w:val="32"/>
              </w:rPr>
              <w:t>I-2骨干教师与团队情况（骨干教师最多限填30人）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497" w:type="dxa"/>
            <w:gridSpan w:val="14"/>
            <w:tcBorders>
              <w:top w:val="single" w:color="auto" w:sz="12" w:space="0"/>
            </w:tcBorders>
            <w:vAlign w:val="center"/>
          </w:tcPr>
          <w:p>
            <w:pPr>
              <w:jc w:val="left"/>
              <w:rPr>
                <w:rFonts w:ascii="仿宋_GB2312" w:hAnsi="Calibri" w:eastAsia="仿宋_GB2312" w:cs="黑体"/>
                <w:b/>
                <w:color w:val="000000" w:themeColor="text1"/>
                <w:sz w:val="24"/>
                <w:szCs w:val="32"/>
              </w:rPr>
            </w:pPr>
            <w:r>
              <w:rPr>
                <w:rFonts w:hint="eastAsia" w:ascii="仿宋_GB2312" w:hAnsi="黑体" w:eastAsia="仿宋_GB2312" w:cs="黑体"/>
                <w:b/>
                <w:bCs/>
                <w:color w:val="000000" w:themeColor="text1"/>
                <w:sz w:val="32"/>
                <w:szCs w:val="32"/>
              </w:rPr>
              <w:t>I-2-1  45岁以上代表性骨干教师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序号</w:t>
            </w:r>
          </w:p>
        </w:tc>
        <w:tc>
          <w:tcPr>
            <w:tcW w:w="95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教师</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姓名</w:t>
            </w:r>
          </w:p>
        </w:tc>
        <w:tc>
          <w:tcPr>
            <w:tcW w:w="1176"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出生</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年月</w:t>
            </w:r>
          </w:p>
        </w:tc>
        <w:tc>
          <w:tcPr>
            <w:tcW w:w="545" w:type="dxa"/>
            <w:gridSpan w:val="2"/>
            <w:tcBorders>
              <w:top w:val="single" w:color="auto" w:sz="12" w:space="0"/>
            </w:tcBorders>
            <w:vAlign w:val="center"/>
          </w:tcPr>
          <w:p>
            <w:pPr>
              <w:tabs>
                <w:tab w:val="left" w:pos="975"/>
              </w:tabs>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性别</w:t>
            </w:r>
          </w:p>
        </w:tc>
        <w:tc>
          <w:tcPr>
            <w:tcW w:w="981"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专业职务</w:t>
            </w:r>
          </w:p>
        </w:tc>
        <w:tc>
          <w:tcPr>
            <w:tcW w:w="98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导师类别</w:t>
            </w:r>
          </w:p>
        </w:tc>
        <w:tc>
          <w:tcPr>
            <w:tcW w:w="762"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最高学位</w:t>
            </w:r>
          </w:p>
        </w:tc>
        <w:tc>
          <w:tcPr>
            <w:tcW w:w="1559" w:type="dxa"/>
            <w:tcBorders>
              <w:top w:val="single" w:color="auto" w:sz="12" w:space="0"/>
            </w:tcBorders>
            <w:vAlign w:val="center"/>
          </w:tcPr>
          <w:p>
            <w:pPr>
              <w:adjustRightInd w:val="0"/>
              <w:snapToGrid w:val="0"/>
              <w:jc w:val="center"/>
              <w:textAlignment w:val="baseline"/>
              <w:rPr>
                <w:rFonts w:ascii="仿宋_GB2312" w:hAnsi="Times New Roman" w:eastAsia="仿宋_GB2312" w:cs="Times New Roman"/>
                <w:b/>
                <w:color w:val="000000" w:themeColor="text1"/>
                <w:sz w:val="24"/>
                <w:szCs w:val="32"/>
              </w:rPr>
            </w:pPr>
            <w:r>
              <w:rPr>
                <w:rFonts w:hint="eastAsia" w:ascii="仿宋_GB2312" w:hAnsi="Times New Roman" w:eastAsia="仿宋_GB2312" w:cs="Times New Roman"/>
                <w:b/>
                <w:color w:val="000000" w:themeColor="text1"/>
                <w:sz w:val="24"/>
                <w:szCs w:val="32"/>
              </w:rPr>
              <w:t>最高学位获得单位</w:t>
            </w:r>
          </w:p>
        </w:tc>
        <w:tc>
          <w:tcPr>
            <w:tcW w:w="993"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人才称号</w:t>
            </w:r>
          </w:p>
        </w:tc>
        <w:tc>
          <w:tcPr>
            <w:tcW w:w="1511" w:type="dxa"/>
            <w:tcBorders>
              <w:top w:val="single" w:color="auto" w:sz="12" w:space="0"/>
            </w:tcBorders>
            <w:vAlign w:val="center"/>
          </w:tcPr>
          <w:p>
            <w:pP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海外经历及时长</w:t>
            </w:r>
          </w:p>
        </w:tc>
        <w:tc>
          <w:tcPr>
            <w:tcW w:w="110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研究方向</w:t>
            </w:r>
          </w:p>
        </w:tc>
        <w:tc>
          <w:tcPr>
            <w:tcW w:w="1777"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学术兼职</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及简介</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color w:val="000000" w:themeColor="text1"/>
                <w:sz w:val="24"/>
                <w:szCs w:val="32"/>
              </w:rPr>
              <w:t>(限填100字)</w:t>
            </w:r>
          </w:p>
        </w:tc>
        <w:tc>
          <w:tcPr>
            <w:tcW w:w="1413"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1</w:t>
            </w:r>
          </w:p>
        </w:tc>
        <w:tc>
          <w:tcPr>
            <w:tcW w:w="95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1176"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1956.6</w:t>
            </w:r>
          </w:p>
        </w:tc>
        <w:tc>
          <w:tcPr>
            <w:tcW w:w="545"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81"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p>
            <w:pPr>
              <w:jc w:val="center"/>
              <w:rPr>
                <w:rFonts w:ascii="宋体" w:hAnsi="宋体" w:cs="宋体"/>
                <w:color w:val="000000" w:themeColor="text1"/>
                <w:szCs w:val="21"/>
              </w:rPr>
            </w:pPr>
            <w:r>
              <w:rPr>
                <w:rFonts w:hint="eastAsia" w:ascii="宋体" w:hAnsi="宋体" w:cs="宋体"/>
                <w:color w:val="000000" w:themeColor="text1"/>
                <w:szCs w:val="21"/>
              </w:rPr>
              <w:t>专硕导师</w:t>
            </w:r>
          </w:p>
          <w:p>
            <w:pPr>
              <w:jc w:val="center"/>
              <w:rPr>
                <w:rFonts w:asciiTheme="minorEastAsia" w:hAnsiTheme="minorEastAsia" w:cstheme="minorEastAsia"/>
                <w:color w:val="000000" w:themeColor="text1"/>
                <w:szCs w:val="21"/>
              </w:rPr>
            </w:pPr>
          </w:p>
        </w:tc>
        <w:tc>
          <w:tcPr>
            <w:tcW w:w="76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1559"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复旦大学</w:t>
            </w:r>
          </w:p>
        </w:tc>
        <w:tc>
          <w:tcPr>
            <w:tcW w:w="993" w:type="dxa"/>
            <w:vAlign w:val="center"/>
          </w:tcPr>
          <w:p>
            <w:pPr>
              <w:jc w:val="center"/>
              <w:rPr>
                <w:rFonts w:asciiTheme="minorEastAsia" w:hAnsiTheme="minorEastAsia" w:cstheme="minorEastAsia"/>
                <w:color w:val="000000" w:themeColor="text1"/>
                <w:sz w:val="24"/>
                <w:szCs w:val="32"/>
              </w:rPr>
            </w:pPr>
            <w:r>
              <w:rPr>
                <w:rFonts w:asciiTheme="minorEastAsia" w:hAnsiTheme="minorEastAsia" w:cstheme="minorEastAsia"/>
                <w:color w:val="000000" w:themeColor="text1"/>
                <w:szCs w:val="21"/>
              </w:rPr>
              <w:t>全国优秀教师</w:t>
            </w:r>
            <w:r>
              <w:rPr>
                <w:rFonts w:hint="eastAsia" w:asciiTheme="minorEastAsia" w:hAnsiTheme="minorEastAsia" w:cstheme="minorEastAsia"/>
                <w:color w:val="000000" w:themeColor="text1"/>
                <w:szCs w:val="21"/>
              </w:rPr>
              <w:t>，</w:t>
            </w:r>
            <w:r>
              <w:fldChar w:fldCharType="begin"/>
            </w:r>
            <w:r>
              <w:instrText xml:space="preserve"> HYPERLINK "https://baike.sogou.com/v1289143.htm" \t "_blank" </w:instrText>
            </w:r>
            <w:r>
              <w:fldChar w:fldCharType="separate"/>
            </w:r>
            <w:r>
              <w:rPr>
                <w:rFonts w:asciiTheme="minorEastAsia" w:hAnsiTheme="minorEastAsia" w:cstheme="minorEastAsia"/>
                <w:color w:val="000000" w:themeColor="text1"/>
                <w:szCs w:val="21"/>
              </w:rPr>
              <w:t>国务院特殊津贴</w:t>
            </w:r>
            <w:r>
              <w:rPr>
                <w:rFonts w:asciiTheme="minorEastAsia" w:hAnsiTheme="minorEastAsia" w:cstheme="minorEastAsia"/>
                <w:color w:val="000000" w:themeColor="text1"/>
                <w:szCs w:val="21"/>
              </w:rPr>
              <w:fldChar w:fldCharType="end"/>
            </w:r>
            <w:r>
              <w:rPr>
                <w:rFonts w:hint="eastAsia" w:asciiTheme="minorEastAsia" w:hAnsiTheme="minorEastAsia" w:cstheme="minorEastAsia"/>
                <w:color w:val="000000" w:themeColor="text1"/>
                <w:szCs w:val="21"/>
              </w:rPr>
              <w:t>获得者</w:t>
            </w:r>
            <w:r>
              <w:rPr>
                <w:rFonts w:asciiTheme="minorEastAsia" w:hAnsiTheme="minorEastAsia" w:cstheme="minorEastAsia"/>
                <w:color w:val="000000" w:themeColor="text1"/>
                <w:szCs w:val="21"/>
              </w:rPr>
              <w:t>，</w:t>
            </w:r>
            <w:r>
              <w:rPr>
                <w:rFonts w:hint="eastAsia" w:asciiTheme="minorEastAsia" w:hAnsiTheme="minorEastAsia" w:cstheme="minorEastAsia"/>
                <w:color w:val="000000" w:themeColor="text1"/>
                <w:szCs w:val="21"/>
              </w:rPr>
              <w:t>获</w:t>
            </w:r>
            <w:r>
              <w:fldChar w:fldCharType="begin"/>
            </w:r>
            <w:r>
              <w:instrText xml:space="preserve"> HYPERLINK "https://baike.sogou.com/v451019.htm" \t "_blank" </w:instrText>
            </w:r>
            <w:r>
              <w:fldChar w:fldCharType="separate"/>
            </w:r>
            <w:r>
              <w:rPr>
                <w:rFonts w:asciiTheme="minorEastAsia" w:hAnsiTheme="minorEastAsia" w:cstheme="minorEastAsia"/>
                <w:color w:val="000000" w:themeColor="text1"/>
                <w:szCs w:val="21"/>
              </w:rPr>
              <w:t>曾宪梓</w:t>
            </w:r>
            <w:r>
              <w:rPr>
                <w:rFonts w:asciiTheme="minorEastAsia" w:hAnsiTheme="minorEastAsia" w:cstheme="minorEastAsia"/>
                <w:color w:val="000000" w:themeColor="text1"/>
                <w:szCs w:val="21"/>
              </w:rPr>
              <w:fldChar w:fldCharType="end"/>
            </w:r>
            <w:r>
              <w:rPr>
                <w:rFonts w:asciiTheme="minorEastAsia" w:hAnsiTheme="minorEastAsia" w:cstheme="minorEastAsia"/>
                <w:color w:val="000000" w:themeColor="text1"/>
                <w:szCs w:val="21"/>
              </w:rPr>
              <w:t>师范教育教师三等奖，浙江省跨世纪学术技术带头人（151人才工程）</w:t>
            </w:r>
            <w:r>
              <w:rPr>
                <w:rFonts w:hint="eastAsia" w:asciiTheme="minorEastAsia" w:hAnsiTheme="minorEastAsia" w:cstheme="minorEastAsia"/>
                <w:color w:val="000000" w:themeColor="text1"/>
                <w:szCs w:val="21"/>
              </w:rPr>
              <w:t>，和山学者</w:t>
            </w:r>
          </w:p>
        </w:tc>
        <w:tc>
          <w:tcPr>
            <w:tcW w:w="1511" w:type="dxa"/>
            <w:vAlign w:val="center"/>
          </w:tcPr>
          <w:p>
            <w:pPr>
              <w:jc w:val="center"/>
              <w:rPr>
                <w:rFonts w:asciiTheme="minorEastAsia" w:hAnsiTheme="minorEastAsia" w:cstheme="minorEastAsia"/>
                <w:color w:val="000000" w:themeColor="text1"/>
                <w:szCs w:val="21"/>
              </w:rPr>
            </w:pPr>
          </w:p>
        </w:tc>
        <w:tc>
          <w:tcPr>
            <w:tcW w:w="1108" w:type="dxa"/>
            <w:vAlign w:val="center"/>
          </w:tcPr>
          <w:p>
            <w:pPr>
              <w:jc w:val="left"/>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应用语言学、修辞学、</w:t>
            </w:r>
          </w:p>
        </w:tc>
        <w:tc>
          <w:tcPr>
            <w:tcW w:w="1777" w:type="dxa"/>
            <w:vAlign w:val="center"/>
          </w:tcPr>
          <w:p>
            <w:pPr>
              <w:jc w:val="center"/>
              <w:rPr>
                <w:rFonts w:asciiTheme="minorEastAsia" w:hAnsiTheme="minorEastAsia" w:cstheme="minorEastAsia"/>
                <w:color w:val="000000" w:themeColor="text1"/>
                <w:szCs w:val="21"/>
              </w:rPr>
            </w:pPr>
            <w:r>
              <w:rPr>
                <w:rFonts w:asciiTheme="minorEastAsia" w:hAnsiTheme="minorEastAsia" w:cstheme="minorEastAsia"/>
                <w:color w:val="000000" w:themeColor="text1"/>
                <w:szCs w:val="21"/>
              </w:rPr>
              <w:t>浙江省语言学会副会长、浙江省社科界中青年学术指导委员会副主任委员；华东修辞学会副会长、</w:t>
            </w:r>
            <w:r>
              <w:fldChar w:fldCharType="begin"/>
            </w:r>
            <w:r>
              <w:instrText xml:space="preserve"> HYPERLINK "https://baike.sogou.com/v143179803.htm" \t "_blank" </w:instrText>
            </w:r>
            <w:r>
              <w:fldChar w:fldCharType="separate"/>
            </w:r>
            <w:r>
              <w:rPr>
                <w:rFonts w:asciiTheme="minorEastAsia" w:hAnsiTheme="minorEastAsia" w:cstheme="minorEastAsia"/>
                <w:color w:val="000000" w:themeColor="text1"/>
                <w:szCs w:val="21"/>
              </w:rPr>
              <w:t>中国修辞学会</w:t>
            </w:r>
            <w:r>
              <w:rPr>
                <w:rFonts w:asciiTheme="minorEastAsia" w:hAnsiTheme="minorEastAsia" w:cstheme="minorEastAsia"/>
                <w:color w:val="000000" w:themeColor="text1"/>
                <w:szCs w:val="21"/>
              </w:rPr>
              <w:fldChar w:fldCharType="end"/>
            </w:r>
            <w:r>
              <w:rPr>
                <w:rFonts w:asciiTheme="minorEastAsia" w:hAnsiTheme="minorEastAsia" w:cstheme="minorEastAsia"/>
                <w:color w:val="000000" w:themeColor="text1"/>
                <w:szCs w:val="21"/>
              </w:rPr>
              <w:t>理事；教育部《语言文字应用》杂志编委；浙江省教育学会副会长</w:t>
            </w:r>
            <w:r>
              <w:rPr>
                <w:rFonts w:hint="eastAsia" w:asciiTheme="minorEastAsia" w:hAnsiTheme="minorEastAsia" w:cstheme="minorEastAsia"/>
                <w:color w:val="000000" w:themeColor="text1"/>
                <w:szCs w:val="21"/>
              </w:rPr>
              <w:t>浙江省政务新媒体研究院院长</w:t>
            </w:r>
          </w:p>
        </w:tc>
        <w:tc>
          <w:tcPr>
            <w:tcW w:w="1413" w:type="dxa"/>
            <w:vAlign w:val="center"/>
          </w:tcPr>
          <w:p>
            <w:pPr>
              <w:jc w:val="center"/>
              <w:rPr>
                <w:rFonts w:asciiTheme="minorEastAsia" w:hAnsiTheme="minorEastAsia" w:cstheme="minorEastAsia"/>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2</w:t>
            </w:r>
          </w:p>
        </w:tc>
        <w:tc>
          <w:tcPr>
            <w:tcW w:w="954"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杨同用</w:t>
            </w:r>
          </w:p>
        </w:tc>
        <w:tc>
          <w:tcPr>
            <w:tcW w:w="1176"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1964.33</w:t>
            </w:r>
          </w:p>
        </w:tc>
        <w:tc>
          <w:tcPr>
            <w:tcW w:w="545" w:type="dxa"/>
            <w:gridSpan w:val="2"/>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男</w:t>
            </w:r>
          </w:p>
        </w:tc>
        <w:tc>
          <w:tcPr>
            <w:tcW w:w="981"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博士</w:t>
            </w:r>
          </w:p>
        </w:tc>
        <w:tc>
          <w:tcPr>
            <w:tcW w:w="1559"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山东大学</w:t>
            </w:r>
          </w:p>
        </w:tc>
        <w:tc>
          <w:tcPr>
            <w:tcW w:w="993" w:type="dxa"/>
            <w:vAlign w:val="center"/>
          </w:tcPr>
          <w:p>
            <w:pPr>
              <w:jc w:val="center"/>
              <w:rPr>
                <w:rFonts w:asciiTheme="minorEastAsia" w:hAnsiTheme="minorEastAsia" w:cstheme="minorEastAsia"/>
                <w:color w:val="000000" w:themeColor="text1"/>
                <w:sz w:val="24"/>
                <w:szCs w:val="32"/>
              </w:rPr>
            </w:pPr>
          </w:p>
        </w:tc>
        <w:tc>
          <w:tcPr>
            <w:tcW w:w="1511"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公派/1年</w:t>
            </w:r>
          </w:p>
        </w:tc>
        <w:tc>
          <w:tcPr>
            <w:tcW w:w="1108"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语言学、语言教学</w:t>
            </w:r>
          </w:p>
        </w:tc>
        <w:tc>
          <w:tcPr>
            <w:tcW w:w="1777" w:type="dxa"/>
            <w:vAlign w:val="center"/>
          </w:tcPr>
          <w:p>
            <w:pPr>
              <w:jc w:val="center"/>
              <w:rPr>
                <w:rFonts w:asciiTheme="minorEastAsia" w:hAnsiTheme="minorEastAsia" w:cstheme="minorEastAsia"/>
                <w:color w:val="000000" w:themeColor="text1"/>
                <w:sz w:val="24"/>
                <w:szCs w:val="32"/>
              </w:rPr>
            </w:pPr>
            <w:r>
              <w:rPr>
                <w:rFonts w:hint="eastAsia" w:ascii="宋体" w:hAnsi="宋体" w:cs="宋体"/>
                <w:color w:val="000000" w:themeColor="text1"/>
                <w:szCs w:val="21"/>
              </w:rPr>
              <w:t>中国语言学会会员，国家社科基金通讯评审专家，公派汉语教师、汉语教师志愿者考官</w:t>
            </w:r>
          </w:p>
        </w:tc>
        <w:tc>
          <w:tcPr>
            <w:tcW w:w="1413" w:type="dxa"/>
            <w:vAlign w:val="center"/>
          </w:tcPr>
          <w:p>
            <w:pPr>
              <w:jc w:val="center"/>
              <w:rPr>
                <w:rFonts w:asciiTheme="minorEastAsia" w:hAnsiTheme="minorEastAsia" w:cstheme="minorEastAsia"/>
                <w:color w:val="000000" w:themeColor="text1"/>
                <w:sz w:val="24"/>
                <w:szCs w:val="32"/>
              </w:rPr>
            </w:pPr>
            <w:r>
              <w:rPr>
                <w:rFonts w:hint="eastAsia" w:ascii="宋体" w:hAnsi="宋体" w:cs="宋体"/>
                <w:color w:val="000000" w:themeColor="text1"/>
                <w:szCs w:val="21"/>
              </w:rPr>
              <w:t>2014年前河北师大汉语国际教育本科专业负责人，汉语国际教育硕士专业第一申报人，负责人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3</w:t>
            </w:r>
          </w:p>
        </w:tc>
        <w:tc>
          <w:tcPr>
            <w:tcW w:w="95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1176"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1965.10</w:t>
            </w:r>
          </w:p>
        </w:tc>
        <w:tc>
          <w:tcPr>
            <w:tcW w:w="545"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81"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p>
            <w:pPr>
              <w:jc w:val="center"/>
              <w:rPr>
                <w:rFonts w:ascii="宋体" w:hAnsi="宋体" w:cs="宋体"/>
                <w:color w:val="000000" w:themeColor="text1"/>
                <w:szCs w:val="21"/>
              </w:rPr>
            </w:pPr>
            <w:r>
              <w:rPr>
                <w:rFonts w:hint="eastAsia" w:ascii="宋体" w:hAnsi="宋体" w:cs="宋体"/>
                <w:color w:val="000000" w:themeColor="text1"/>
                <w:szCs w:val="21"/>
              </w:rPr>
              <w:t>专硕导师</w:t>
            </w:r>
          </w:p>
          <w:p>
            <w:pPr>
              <w:rPr>
                <w:rFonts w:asciiTheme="minorEastAsia" w:hAnsiTheme="minorEastAsia" w:cstheme="minorEastAsia"/>
                <w:color w:val="000000" w:themeColor="text1"/>
                <w:szCs w:val="21"/>
              </w:rPr>
            </w:pPr>
          </w:p>
        </w:tc>
        <w:tc>
          <w:tcPr>
            <w:tcW w:w="76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1559"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华东师范大学</w:t>
            </w:r>
          </w:p>
        </w:tc>
        <w:tc>
          <w:tcPr>
            <w:tcW w:w="993" w:type="dxa"/>
            <w:vAlign w:val="center"/>
          </w:tcPr>
          <w:p>
            <w:pPr>
              <w:jc w:val="center"/>
              <w:rPr>
                <w:rFonts w:asciiTheme="minorEastAsia" w:hAnsiTheme="minorEastAsia" w:cstheme="minorEastAsia"/>
                <w:color w:val="000000" w:themeColor="text1"/>
                <w:szCs w:val="21"/>
              </w:rPr>
            </w:pPr>
          </w:p>
        </w:tc>
        <w:tc>
          <w:tcPr>
            <w:tcW w:w="1511"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Cs w:val="21"/>
              </w:rPr>
              <w:t>留学/1年</w:t>
            </w:r>
          </w:p>
        </w:tc>
        <w:tc>
          <w:tcPr>
            <w:tcW w:w="1108" w:type="dxa"/>
            <w:vAlign w:val="center"/>
          </w:tcPr>
          <w:p>
            <w:pPr>
              <w:jc w:val="left"/>
              <w:rPr>
                <w:rFonts w:asciiTheme="minorEastAsia" w:hAnsiTheme="minorEastAsia" w:cstheme="minorEastAsia"/>
                <w:color w:val="000000" w:themeColor="text1"/>
                <w:szCs w:val="21"/>
              </w:rPr>
            </w:pPr>
            <w:r>
              <w:rPr>
                <w:rFonts w:hint="eastAsia" w:ascii="宋体" w:hAnsi="宋体" w:cs="宋体"/>
                <w:color w:val="000000" w:themeColor="text1"/>
                <w:szCs w:val="21"/>
              </w:rPr>
              <w:t>汉语语法、汉英语言对比、汉语国际教育</w:t>
            </w:r>
          </w:p>
        </w:tc>
        <w:tc>
          <w:tcPr>
            <w:tcW w:w="1777"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Cs w:val="21"/>
              </w:rPr>
              <w:t>中国语言学会会员，浙江省语言学会常务理事，国家社科基金通讯评审专家，多家语言学专业杂志匿名审稿人</w:t>
            </w:r>
          </w:p>
        </w:tc>
        <w:tc>
          <w:tcPr>
            <w:tcW w:w="1413" w:type="dxa"/>
            <w:vAlign w:val="center"/>
          </w:tcPr>
          <w:p>
            <w:pPr>
              <w:jc w:val="center"/>
              <w:rPr>
                <w:rFonts w:asciiTheme="minorEastAsia" w:hAnsiTheme="minorEastAsia" w:cstheme="minorEastAsia"/>
                <w:color w:val="000000" w:themeColor="text1"/>
                <w:sz w:val="24"/>
                <w:szCs w:val="32"/>
              </w:rPr>
            </w:pPr>
            <w:r>
              <w:rPr>
                <w:rFonts w:hint="eastAsia" w:ascii="宋体" w:hAnsi="宋体" w:cs="宋体"/>
                <w:color w:val="000000" w:themeColor="text1"/>
                <w:szCs w:val="21"/>
              </w:rPr>
              <w:t>2014年前贵州师大汉语言文字学专业博士点领衔导师，于2013年被聘为首批博士生导师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4</w:t>
            </w:r>
          </w:p>
        </w:tc>
        <w:tc>
          <w:tcPr>
            <w:tcW w:w="954" w:type="dxa"/>
            <w:vAlign w:val="center"/>
          </w:tcPr>
          <w:p>
            <w:pPr>
              <w:jc w:val="center"/>
              <w:rPr>
                <w:rFonts w:asciiTheme="minorEastAsia" w:hAnsiTheme="minorEastAsia" w:cstheme="minorEastAsia"/>
                <w:color w:val="000000" w:themeColor="text1"/>
              </w:rPr>
            </w:pPr>
            <w:r>
              <w:rPr>
                <w:rFonts w:hint="eastAsia" w:ascii="宋体" w:hAnsi="宋体" w:cs="宋体"/>
                <w:color w:val="000000" w:themeColor="text1"/>
              </w:rPr>
              <w:t>黄建滨</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rPr>
              <w:t>1955.5</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rPr>
              <w:t>男</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rPr>
              <w:t>正高</w:t>
            </w:r>
          </w:p>
        </w:tc>
        <w:tc>
          <w:tcPr>
            <w:tcW w:w="98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专硕导师</w:t>
            </w:r>
          </w:p>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szCs w:val="21"/>
              </w:rPr>
              <w:t>学博导师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szCs w:val="21"/>
              </w:rPr>
              <w:t>学士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sz w:val="18"/>
                <w:szCs w:val="18"/>
              </w:rPr>
              <w:t>加拿大渥太华大学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rPr>
              <w:t>留学1年</w:t>
            </w:r>
          </w:p>
        </w:tc>
        <w:tc>
          <w:tcPr>
            <w:tcW w:w="1108" w:type="dxa"/>
            <w:vAlign w:val="center"/>
          </w:tcPr>
          <w:p>
            <w:pPr>
              <w:jc w:val="center"/>
              <w:rPr>
                <w:rFonts w:ascii="宋体" w:hAnsi="宋体" w:cs="宋体"/>
                <w:color w:val="000000" w:themeColor="text1"/>
              </w:rPr>
            </w:pPr>
            <w:r>
              <w:rPr>
                <w:rFonts w:hint="eastAsia" w:ascii="宋体" w:hAnsi="宋体" w:cs="宋体"/>
                <w:color w:val="000000" w:themeColor="text1"/>
              </w:rPr>
              <w:t>外语教学</w:t>
            </w:r>
          </w:p>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rPr>
              <w:t>汉语教学</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2015年前在浙江大学工作，为该校汉语国际教育硕士专业负责人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5</w:t>
            </w:r>
          </w:p>
        </w:tc>
        <w:tc>
          <w:tcPr>
            <w:tcW w:w="954"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叶晗</w:t>
            </w:r>
          </w:p>
        </w:tc>
        <w:tc>
          <w:tcPr>
            <w:tcW w:w="1176"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1967.2</w:t>
            </w:r>
          </w:p>
        </w:tc>
        <w:tc>
          <w:tcPr>
            <w:tcW w:w="545" w:type="dxa"/>
            <w:gridSpan w:val="2"/>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女</w:t>
            </w:r>
          </w:p>
        </w:tc>
        <w:tc>
          <w:tcPr>
            <w:tcW w:w="981"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硕士</w:t>
            </w:r>
          </w:p>
        </w:tc>
        <w:tc>
          <w:tcPr>
            <w:tcW w:w="1559"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浙江大学</w:t>
            </w:r>
          </w:p>
        </w:tc>
        <w:tc>
          <w:tcPr>
            <w:tcW w:w="993"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浙江省151人才</w:t>
            </w:r>
          </w:p>
        </w:tc>
        <w:tc>
          <w:tcPr>
            <w:tcW w:w="1511" w:type="dxa"/>
            <w:vAlign w:val="center"/>
          </w:tcPr>
          <w:p>
            <w:pPr>
              <w:jc w:val="center"/>
              <w:rPr>
                <w:rFonts w:asciiTheme="minorEastAsia" w:hAnsiTheme="minorEastAsia" w:cstheme="minorEastAsia"/>
                <w:color w:val="000000" w:themeColor="text1"/>
                <w:sz w:val="24"/>
                <w:szCs w:val="32"/>
              </w:rPr>
            </w:pPr>
          </w:p>
        </w:tc>
        <w:tc>
          <w:tcPr>
            <w:tcW w:w="1108"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文化学、文化遗产保护、当代中国</w:t>
            </w:r>
          </w:p>
        </w:tc>
        <w:tc>
          <w:tcPr>
            <w:tcW w:w="1777"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Cs w:val="21"/>
              </w:rPr>
              <w:t>浙江省语言文字工作者协会常务理事兼常务副秘书长、浙江省中国当代文学研究会常务理事</w:t>
            </w:r>
          </w:p>
        </w:tc>
        <w:tc>
          <w:tcPr>
            <w:tcW w:w="1413" w:type="dxa"/>
            <w:vAlign w:val="center"/>
          </w:tcPr>
          <w:p>
            <w:pPr>
              <w:jc w:val="center"/>
              <w:rPr>
                <w:rFonts w:asciiTheme="minorEastAsia" w:hAnsiTheme="minorEastAsia" w:cstheme="minorEastAsia"/>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6</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严慧仙</w:t>
            </w:r>
          </w:p>
        </w:tc>
        <w:tc>
          <w:tcPr>
            <w:tcW w:w="1176"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1962.10</w:t>
            </w:r>
          </w:p>
        </w:tc>
        <w:tc>
          <w:tcPr>
            <w:tcW w:w="545"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81"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正高</w:t>
            </w:r>
          </w:p>
        </w:tc>
        <w:tc>
          <w:tcPr>
            <w:tcW w:w="98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1559"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浙江师范大学</w:t>
            </w:r>
          </w:p>
        </w:tc>
        <w:tc>
          <w:tcPr>
            <w:tcW w:w="993" w:type="dxa"/>
            <w:vAlign w:val="center"/>
          </w:tcPr>
          <w:p>
            <w:pPr>
              <w:jc w:val="center"/>
              <w:rPr>
                <w:rFonts w:asciiTheme="minorEastAsia" w:hAnsiTheme="minorEastAsia" w:cstheme="minorEastAsia"/>
                <w:color w:val="000000" w:themeColor="text1"/>
                <w:szCs w:val="21"/>
              </w:rPr>
            </w:pPr>
          </w:p>
        </w:tc>
        <w:tc>
          <w:tcPr>
            <w:tcW w:w="1511"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公派/1年</w:t>
            </w:r>
          </w:p>
        </w:tc>
        <w:tc>
          <w:tcPr>
            <w:tcW w:w="11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跨文化交际与二语习得</w:t>
            </w:r>
          </w:p>
        </w:tc>
        <w:tc>
          <w:tcPr>
            <w:tcW w:w="1777" w:type="dxa"/>
            <w:vAlign w:val="center"/>
          </w:tcPr>
          <w:p>
            <w:pPr>
              <w:jc w:val="center"/>
              <w:rPr>
                <w:rFonts w:asciiTheme="minorEastAsia" w:hAnsiTheme="minorEastAsia" w:cstheme="minorEastAsia"/>
                <w:color w:val="000000" w:themeColor="text1"/>
                <w:szCs w:val="21"/>
              </w:rPr>
            </w:pPr>
          </w:p>
        </w:tc>
        <w:tc>
          <w:tcPr>
            <w:tcW w:w="1413" w:type="dxa"/>
            <w:vAlign w:val="center"/>
          </w:tcPr>
          <w:p>
            <w:pPr>
              <w:jc w:val="center"/>
              <w:rPr>
                <w:rFonts w:asciiTheme="minorEastAsia" w:hAnsiTheme="minorEastAsia" w:cstheme="minorEastAsia"/>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w:t>
            </w:r>
          </w:p>
        </w:tc>
        <w:tc>
          <w:tcPr>
            <w:tcW w:w="954"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周毅</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1965.7</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博士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北京语言大学</w:t>
            </w:r>
          </w:p>
        </w:tc>
        <w:tc>
          <w:tcPr>
            <w:tcW w:w="993" w:type="dxa"/>
            <w:vAlign w:val="center"/>
          </w:tcPr>
          <w:p>
            <w:pPr>
              <w:jc w:val="center"/>
              <w:rPr>
                <w:rFonts w:asciiTheme="minorEastAsia" w:hAnsiTheme="minorEastAsia" w:cstheme="minorEastAsia"/>
                <w:b/>
                <w:color w:val="000000" w:themeColor="text1"/>
                <w:sz w:val="32"/>
                <w:szCs w:val="32"/>
              </w:rPr>
            </w:pPr>
            <w:r>
              <w:rPr>
                <w:rFonts w:hint="eastAsia" w:asciiTheme="minorEastAsia" w:hAnsiTheme="minorEastAsia" w:cstheme="minorEastAsia"/>
                <w:color w:val="000000" w:themeColor="text1"/>
                <w:szCs w:val="21"/>
              </w:rPr>
              <w:t>无</w:t>
            </w: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 xml:space="preserve"> </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szCs w:val="21"/>
              </w:rPr>
              <w:t>语用学、 汉语语篇教学</w:t>
            </w:r>
          </w:p>
        </w:tc>
        <w:tc>
          <w:tcPr>
            <w:tcW w:w="1777" w:type="dxa"/>
            <w:vAlign w:val="center"/>
          </w:tcPr>
          <w:p>
            <w:pPr>
              <w:jc w:val="center"/>
              <w:rPr>
                <w:rFonts w:asciiTheme="minorEastAsia" w:hAnsiTheme="minorEastAsia" w:cstheme="minorEastAsia"/>
                <w:color w:val="000000" w:themeColor="text1"/>
                <w:sz w:val="32"/>
                <w:szCs w:val="32"/>
              </w:rPr>
            </w:pPr>
            <w:r>
              <w:rPr>
                <w:rFonts w:hint="eastAsia" w:ascii="宋体" w:hAnsi="宋体" w:cs="宋体"/>
                <w:color w:val="000000" w:themeColor="text1"/>
                <w:szCs w:val="21"/>
              </w:rPr>
              <w:t>《国际汉语教师资格证书》考官、浙江省语言学会理事</w:t>
            </w:r>
          </w:p>
        </w:tc>
        <w:tc>
          <w:tcPr>
            <w:tcW w:w="1413" w:type="dxa"/>
            <w:vAlign w:val="center"/>
          </w:tcPr>
          <w:p>
            <w:pPr>
              <w:jc w:val="center"/>
              <w:rPr>
                <w:rFonts w:asciiTheme="minorEastAsia" w:hAnsiTheme="minorEastAsia" w:cstheme="minorEastAsia"/>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 w:val="22"/>
              </w:rPr>
              <w:t>8</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赵卫东</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1970.7</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男</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博士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浙江大学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中国现当代文学研究</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rPr>
              <w:t>9</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陶绍清</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1971.09</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男</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博士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复旦大学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中国古代文学、古籍整理</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朱吉梅</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1969.01</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公派/1年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外语教学</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rPr>
              <w:t>11</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翁震华</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1968.5</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浙江大学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公派/2年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德语教学理论与实践</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12</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徐理勤</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1969.4.10</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正高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浙江大学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公派/1年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比较教育、跨文化交际、教育国际化</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 w:val="24"/>
                <w:szCs w:val="32"/>
              </w:rPr>
              <w:t>13</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冯少中</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1966.2.28</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副高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哈尔滨师范大学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公派/6年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翻译理论与实践 对外汉语教学</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留学生中心主任，曾任罗马尼亚克鲁日孔子学院中方院长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 w:val="24"/>
                <w:szCs w:val="32"/>
              </w:rPr>
              <w:t>14</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俞燕君</w:t>
            </w:r>
          </w:p>
        </w:tc>
        <w:tc>
          <w:tcPr>
            <w:tcW w:w="1176"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1969.12</w:t>
            </w:r>
          </w:p>
        </w:tc>
        <w:tc>
          <w:tcPr>
            <w:tcW w:w="545" w:type="dxa"/>
            <w:gridSpan w:val="2"/>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副高</w:t>
            </w:r>
          </w:p>
        </w:tc>
        <w:tc>
          <w:tcPr>
            <w:tcW w:w="988"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博士</w:t>
            </w:r>
          </w:p>
        </w:tc>
        <w:tc>
          <w:tcPr>
            <w:tcW w:w="1559"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韩国檀国大学（</w:t>
            </w:r>
            <w:r>
              <w:rPr>
                <w:rFonts w:hint="eastAsia" w:ascii="Batang" w:hAnsi="Batang" w:eastAsia="Batang" w:cs="Batang"/>
                <w:color w:val="000000" w:themeColor="text1"/>
                <w:lang w:eastAsia="ko-KR"/>
              </w:rPr>
              <w:t>단국대학교</w:t>
            </w:r>
            <w:r>
              <w:rPr>
                <w:rFonts w:hint="eastAsia" w:asciiTheme="minorEastAsia" w:hAnsiTheme="minorEastAsia" w:cstheme="minorEastAsia"/>
                <w:color w:val="000000" w:themeColor="text1"/>
              </w:rPr>
              <w:t>）</w:t>
            </w:r>
          </w:p>
        </w:tc>
        <w:tc>
          <w:tcPr>
            <w:tcW w:w="993" w:type="dxa"/>
            <w:vAlign w:val="center"/>
          </w:tcPr>
          <w:p>
            <w:pPr>
              <w:jc w:val="center"/>
              <w:rPr>
                <w:rFonts w:asciiTheme="minorEastAsia" w:hAnsiTheme="minorEastAsia" w:cstheme="minorEastAsia"/>
                <w:color w:val="000000" w:themeColor="text1"/>
              </w:rPr>
            </w:pPr>
          </w:p>
        </w:tc>
        <w:tc>
          <w:tcPr>
            <w:tcW w:w="1511"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公派/2年</w:t>
            </w:r>
          </w:p>
        </w:tc>
        <w:tc>
          <w:tcPr>
            <w:tcW w:w="1108"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汉语国家教育、汉韩语言比较</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15</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贾峰昌</w:t>
            </w:r>
          </w:p>
        </w:tc>
        <w:tc>
          <w:tcPr>
            <w:tcW w:w="1176"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1965.05</w:t>
            </w:r>
          </w:p>
        </w:tc>
        <w:tc>
          <w:tcPr>
            <w:tcW w:w="545"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81"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副高</w:t>
            </w:r>
          </w:p>
        </w:tc>
        <w:tc>
          <w:tcPr>
            <w:tcW w:w="988" w:type="dxa"/>
            <w:vAlign w:val="center"/>
          </w:tcPr>
          <w:p>
            <w:pPr>
              <w:jc w:val="center"/>
              <w:rPr>
                <w:rFonts w:asciiTheme="minorEastAsia" w:hAnsiTheme="minorEastAsia" w:cstheme="minorEastAsia"/>
                <w:color w:val="000000" w:themeColor="text1"/>
                <w:szCs w:val="21"/>
              </w:rPr>
            </w:pPr>
          </w:p>
        </w:tc>
        <w:tc>
          <w:tcPr>
            <w:tcW w:w="76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rPr>
              <w:t>学士</w:t>
            </w:r>
          </w:p>
        </w:tc>
        <w:tc>
          <w:tcPr>
            <w:tcW w:w="1559"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北京外国语大学</w:t>
            </w:r>
          </w:p>
        </w:tc>
        <w:tc>
          <w:tcPr>
            <w:tcW w:w="993" w:type="dxa"/>
            <w:vAlign w:val="center"/>
          </w:tcPr>
          <w:p>
            <w:pPr>
              <w:jc w:val="center"/>
              <w:rPr>
                <w:rFonts w:asciiTheme="minorEastAsia" w:hAnsiTheme="minorEastAsia" w:cstheme="minorEastAsia"/>
                <w:color w:val="000000" w:themeColor="text1"/>
                <w:szCs w:val="21"/>
              </w:rPr>
            </w:pPr>
          </w:p>
        </w:tc>
        <w:tc>
          <w:tcPr>
            <w:tcW w:w="1511"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留学/1年，</w:t>
            </w:r>
            <w:r>
              <w:rPr>
                <w:rFonts w:hint="eastAsia" w:asciiTheme="minorEastAsia" w:hAnsiTheme="minorEastAsia" w:cstheme="minorEastAsia"/>
                <w:color w:val="000000" w:themeColor="text1"/>
              </w:rPr>
              <w:t>公派/2年</w:t>
            </w:r>
          </w:p>
        </w:tc>
        <w:tc>
          <w:tcPr>
            <w:tcW w:w="11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德国语言与文学</w:t>
            </w:r>
          </w:p>
        </w:tc>
        <w:tc>
          <w:tcPr>
            <w:tcW w:w="1777" w:type="dxa"/>
            <w:vAlign w:val="center"/>
          </w:tcPr>
          <w:p>
            <w:pPr>
              <w:jc w:val="center"/>
              <w:rPr>
                <w:rFonts w:asciiTheme="minorEastAsia" w:hAnsiTheme="minorEastAsia" w:cstheme="minorEastAsia"/>
                <w:color w:val="000000" w:themeColor="text1"/>
                <w:szCs w:val="21"/>
              </w:rPr>
            </w:pPr>
          </w:p>
        </w:tc>
        <w:tc>
          <w:tcPr>
            <w:tcW w:w="1413"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Cs w:val="21"/>
              </w:rPr>
              <w:t>德国埃尔福特应用科学</w:t>
            </w:r>
            <w:r>
              <w:rPr>
                <w:rFonts w:asciiTheme="minorEastAsia" w:hAnsiTheme="minorEastAsia" w:cstheme="minorEastAsia"/>
                <w:color w:val="000000" w:themeColor="text1"/>
                <w:szCs w:val="21"/>
              </w:rPr>
              <w:t>大学</w:t>
            </w:r>
            <w:r>
              <w:rPr>
                <w:rFonts w:hint="eastAsia" w:asciiTheme="minorEastAsia" w:hAnsiTheme="minorEastAsia" w:cstheme="minorEastAsia"/>
                <w:color w:val="000000" w:themeColor="text1"/>
                <w:szCs w:val="21"/>
              </w:rPr>
              <w:t>孔子学院中方院长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 w:val="24"/>
                <w:szCs w:val="32"/>
              </w:rPr>
              <w:t>16</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陈亚轩</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1969.4.10</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副高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上海外国语大学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公派/1年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外语教学</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 w:val="24"/>
                <w:szCs w:val="32"/>
              </w:rPr>
              <w:t>17</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潘飞</w:t>
            </w:r>
          </w:p>
        </w:tc>
        <w:tc>
          <w:tcPr>
            <w:tcW w:w="1176"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1969.12.22</w:t>
            </w:r>
          </w:p>
        </w:tc>
        <w:tc>
          <w:tcPr>
            <w:tcW w:w="545" w:type="dxa"/>
            <w:gridSpan w:val="2"/>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副高</w:t>
            </w:r>
          </w:p>
        </w:tc>
        <w:tc>
          <w:tcPr>
            <w:tcW w:w="98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上海外国语大学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公派/1年</w:t>
            </w:r>
          </w:p>
        </w:tc>
        <w:tc>
          <w:tcPr>
            <w:tcW w:w="1108" w:type="dxa"/>
            <w:vAlign w:val="center"/>
          </w:tcPr>
          <w:p>
            <w:pPr>
              <w:jc w:val="center"/>
              <w:rPr>
                <w:rFonts w:asciiTheme="minorEastAsia" w:hAnsiTheme="minorEastAsia" w:cstheme="minorEastAsia"/>
                <w:color w:val="000000" w:themeColor="text1"/>
                <w:sz w:val="32"/>
                <w:szCs w:val="32"/>
              </w:rPr>
            </w:pPr>
            <w:r>
              <w:rPr>
                <w:rFonts w:hint="eastAsia" w:asciiTheme="minorEastAsia" w:hAnsiTheme="minorEastAsia" w:cstheme="minorEastAsia"/>
                <w:color w:val="000000" w:themeColor="text1"/>
              </w:rPr>
              <w:t>英语教学、英美文学、对外汉语教学</w:t>
            </w:r>
          </w:p>
        </w:tc>
        <w:tc>
          <w:tcPr>
            <w:tcW w:w="1777" w:type="dxa"/>
            <w:vAlign w:val="center"/>
          </w:tcPr>
          <w:p>
            <w:pPr>
              <w:jc w:val="cente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730" w:type="dxa"/>
            <w:vAlign w:val="center"/>
          </w:tcPr>
          <w:p>
            <w:pPr>
              <w:jc w:val="center"/>
              <w:rPr>
                <w:rFonts w:asciiTheme="minorEastAsia" w:hAnsiTheme="minorEastAsia" w:cstheme="minorEastAsia"/>
                <w:color w:val="000000" w:themeColor="text1"/>
                <w:sz w:val="24"/>
                <w:szCs w:val="32"/>
              </w:rPr>
            </w:pPr>
            <w:r>
              <w:rPr>
                <w:rFonts w:hint="eastAsia" w:asciiTheme="minorEastAsia" w:hAnsiTheme="minorEastAsia" w:cstheme="minorEastAsia"/>
                <w:color w:val="000000" w:themeColor="text1"/>
                <w:sz w:val="24"/>
                <w:szCs w:val="32"/>
              </w:rPr>
              <w:t>18</w:t>
            </w:r>
          </w:p>
        </w:tc>
        <w:tc>
          <w:tcPr>
            <w:tcW w:w="95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祝敏</w:t>
            </w:r>
          </w:p>
        </w:tc>
        <w:tc>
          <w:tcPr>
            <w:tcW w:w="1176"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1970.11.6</w:t>
            </w:r>
          </w:p>
        </w:tc>
        <w:tc>
          <w:tcPr>
            <w:tcW w:w="545" w:type="dxa"/>
            <w:gridSpan w:val="2"/>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女</w:t>
            </w:r>
          </w:p>
        </w:tc>
        <w:tc>
          <w:tcPr>
            <w:tcW w:w="981"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副高</w:t>
            </w:r>
          </w:p>
        </w:tc>
        <w:tc>
          <w:tcPr>
            <w:tcW w:w="988"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硕士</w:t>
            </w:r>
          </w:p>
        </w:tc>
        <w:tc>
          <w:tcPr>
            <w:tcW w:w="1559" w:type="dxa"/>
            <w:vAlign w:val="center"/>
          </w:tcPr>
          <w:p>
            <w:pPr>
              <w:jc w:val="center"/>
              <w:rPr>
                <w:rFonts w:asciiTheme="minorEastAsia" w:hAnsiTheme="minorEastAsia" w:cstheme="minorEastAsia"/>
                <w:color w:val="000000" w:themeColor="text1"/>
              </w:rPr>
            </w:pPr>
            <w:r>
              <w:rPr>
                <w:rFonts w:hint="eastAsia" w:ascii="宋体" w:hAnsi="宋体" w:cs="宋体"/>
                <w:color w:val="000000" w:themeColor="text1"/>
              </w:rPr>
              <w:t>浙江大学</w:t>
            </w:r>
          </w:p>
        </w:tc>
        <w:tc>
          <w:tcPr>
            <w:tcW w:w="993" w:type="dxa"/>
            <w:vAlign w:val="center"/>
          </w:tcPr>
          <w:p>
            <w:pPr>
              <w:jc w:val="center"/>
              <w:rPr>
                <w:rFonts w:asciiTheme="minorEastAsia" w:hAnsiTheme="minorEastAsia" w:cstheme="minorEastAsia"/>
                <w:b/>
                <w:color w:val="000000" w:themeColor="text1"/>
                <w:sz w:val="32"/>
                <w:szCs w:val="32"/>
              </w:rPr>
            </w:pPr>
          </w:p>
        </w:tc>
        <w:tc>
          <w:tcPr>
            <w:tcW w:w="1511" w:type="dxa"/>
            <w:vAlign w:val="center"/>
          </w:tcPr>
          <w:p>
            <w:pPr>
              <w:jc w:val="center"/>
              <w:rPr>
                <w:rFonts w:asciiTheme="minorEastAsia" w:hAnsiTheme="minorEastAsia" w:cstheme="minorEastAsia"/>
                <w:color w:val="000000" w:themeColor="text1"/>
              </w:rPr>
            </w:pPr>
            <w:r>
              <w:rPr>
                <w:rFonts w:hint="eastAsia" w:ascii="宋体" w:hAnsi="宋体" w:cs="宋体"/>
                <w:color w:val="000000" w:themeColor="text1"/>
              </w:rPr>
              <w:t>公派/半年</w:t>
            </w:r>
          </w:p>
        </w:tc>
        <w:tc>
          <w:tcPr>
            <w:tcW w:w="1108" w:type="dxa"/>
            <w:vAlign w:val="center"/>
          </w:tcPr>
          <w:p>
            <w:pPr>
              <w:jc w:val="center"/>
              <w:rPr>
                <w:rFonts w:asciiTheme="minorEastAsia" w:hAnsiTheme="minorEastAsia" w:cstheme="minorEastAsia"/>
                <w:color w:val="000000" w:themeColor="text1"/>
              </w:rPr>
            </w:pPr>
            <w:r>
              <w:rPr>
                <w:rFonts w:hint="eastAsia" w:ascii="宋体" w:hAnsi="宋体" w:cs="宋体"/>
                <w:color w:val="000000" w:themeColor="text1"/>
              </w:rPr>
              <w:t>英语教学、语篇分析、认知语言学、对外汉语教学</w:t>
            </w:r>
          </w:p>
        </w:tc>
        <w:tc>
          <w:tcPr>
            <w:tcW w:w="1777" w:type="dxa"/>
            <w:vAlign w:val="center"/>
          </w:tcPr>
          <w:p>
            <w:pPr>
              <w:rPr>
                <w:rFonts w:asciiTheme="minorEastAsia" w:hAnsiTheme="minorEastAsia" w:cstheme="minorEastAsia"/>
                <w:color w:val="000000" w:themeColor="text1"/>
                <w:sz w:val="32"/>
                <w:szCs w:val="32"/>
              </w:rPr>
            </w:pPr>
          </w:p>
        </w:tc>
        <w:tc>
          <w:tcPr>
            <w:tcW w:w="1413" w:type="dxa"/>
            <w:vAlign w:val="center"/>
          </w:tcPr>
          <w:p>
            <w:pPr>
              <w:jc w:val="center"/>
              <w:rPr>
                <w:rFonts w:asciiTheme="minorEastAsia" w:hAnsiTheme="minorEastAsia" w:cstheme="minorEastAsia"/>
                <w:color w:val="000000" w:themeColor="text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497" w:type="dxa"/>
            <w:gridSpan w:val="14"/>
            <w:vAlign w:val="center"/>
          </w:tcPr>
          <w:p>
            <w:pPr>
              <w:spacing w:line="320" w:lineRule="exact"/>
              <w:rPr>
                <w:rFonts w:ascii="仿宋_GB2312" w:hAnsi="Calibri" w:eastAsia="仿宋_GB2312" w:cs="黑体"/>
                <w:color w:val="000000" w:themeColor="text1"/>
                <w:sz w:val="32"/>
                <w:szCs w:val="32"/>
              </w:rPr>
            </w:pPr>
            <w:r>
              <w:rPr>
                <w:rFonts w:hint="eastAsia" w:ascii="仿宋_GB2312" w:hAnsi="黑体" w:eastAsia="仿宋_GB2312" w:cs="黑体"/>
                <w:b/>
                <w:bCs/>
                <w:color w:val="000000" w:themeColor="text1"/>
                <w:sz w:val="32"/>
                <w:szCs w:val="32"/>
              </w:rPr>
              <w:t>I-2-2  45岁及以下代表性青年骨干教师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序号</w:t>
            </w:r>
          </w:p>
        </w:tc>
        <w:tc>
          <w:tcPr>
            <w:tcW w:w="954"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教师</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姓名</w:t>
            </w:r>
          </w:p>
        </w:tc>
        <w:tc>
          <w:tcPr>
            <w:tcW w:w="1183" w:type="dxa"/>
            <w:gridSpan w:val="2"/>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出生</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年月</w:t>
            </w:r>
          </w:p>
        </w:tc>
        <w:tc>
          <w:tcPr>
            <w:tcW w:w="538" w:type="dxa"/>
            <w:vAlign w:val="center"/>
          </w:tcPr>
          <w:p>
            <w:pPr>
              <w:tabs>
                <w:tab w:val="left" w:pos="975"/>
              </w:tabs>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性别</w:t>
            </w:r>
          </w:p>
        </w:tc>
        <w:tc>
          <w:tcPr>
            <w:tcW w:w="981"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专业职务</w:t>
            </w:r>
          </w:p>
        </w:tc>
        <w:tc>
          <w:tcPr>
            <w:tcW w:w="988"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导师类别</w:t>
            </w:r>
          </w:p>
        </w:tc>
        <w:tc>
          <w:tcPr>
            <w:tcW w:w="762"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最高学位</w:t>
            </w:r>
          </w:p>
        </w:tc>
        <w:tc>
          <w:tcPr>
            <w:tcW w:w="1559" w:type="dxa"/>
            <w:vAlign w:val="center"/>
          </w:tcPr>
          <w:p>
            <w:pPr>
              <w:adjustRightInd w:val="0"/>
              <w:snapToGrid w:val="0"/>
              <w:jc w:val="center"/>
              <w:textAlignment w:val="baseline"/>
              <w:rPr>
                <w:rFonts w:ascii="仿宋_GB2312" w:hAnsi="Times New Roman" w:eastAsia="仿宋_GB2312" w:cs="Times New Roman"/>
                <w:b/>
                <w:color w:val="000000" w:themeColor="text1"/>
                <w:sz w:val="24"/>
                <w:szCs w:val="32"/>
              </w:rPr>
            </w:pPr>
            <w:r>
              <w:rPr>
                <w:rFonts w:hint="eastAsia" w:ascii="仿宋_GB2312" w:hAnsi="Times New Roman" w:eastAsia="仿宋_GB2312" w:cs="Times New Roman"/>
                <w:b/>
                <w:color w:val="000000" w:themeColor="text1"/>
                <w:sz w:val="24"/>
                <w:szCs w:val="32"/>
              </w:rPr>
              <w:t>最高学位获得单位</w:t>
            </w:r>
          </w:p>
        </w:tc>
        <w:tc>
          <w:tcPr>
            <w:tcW w:w="993"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人才称号</w:t>
            </w:r>
          </w:p>
        </w:tc>
        <w:tc>
          <w:tcPr>
            <w:tcW w:w="1511"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海外经历及时长</w:t>
            </w:r>
          </w:p>
        </w:tc>
        <w:tc>
          <w:tcPr>
            <w:tcW w:w="1108"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研究方向</w:t>
            </w:r>
          </w:p>
        </w:tc>
        <w:tc>
          <w:tcPr>
            <w:tcW w:w="1777"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学术兼职</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及简介</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color w:val="000000" w:themeColor="text1"/>
                <w:sz w:val="24"/>
                <w:szCs w:val="32"/>
              </w:rPr>
              <w:t>(限填100字</w:t>
            </w:r>
          </w:p>
        </w:tc>
        <w:tc>
          <w:tcPr>
            <w:tcW w:w="1413"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jc w:val="center"/>
              <w:rPr>
                <w:color w:val="000000" w:themeColor="text1"/>
              </w:rPr>
            </w:pPr>
            <w:r>
              <w:rPr>
                <w:rFonts w:hint="eastAsia"/>
                <w:color w:val="000000" w:themeColor="text1"/>
              </w:rPr>
              <w:t>1</w:t>
            </w:r>
          </w:p>
        </w:tc>
        <w:tc>
          <w:tcPr>
            <w:tcW w:w="954" w:type="dxa"/>
            <w:vAlign w:val="center"/>
          </w:tcPr>
          <w:p>
            <w:pPr>
              <w:jc w:val="center"/>
              <w:rPr>
                <w:color w:val="000000" w:themeColor="text1"/>
              </w:rPr>
            </w:pPr>
            <w:r>
              <w:rPr>
                <w:rFonts w:hint="eastAsia"/>
                <w:color w:val="000000" w:themeColor="text1"/>
              </w:rPr>
              <w:t>胡云晚</w:t>
            </w:r>
          </w:p>
        </w:tc>
        <w:tc>
          <w:tcPr>
            <w:tcW w:w="1183" w:type="dxa"/>
            <w:gridSpan w:val="2"/>
            <w:vAlign w:val="center"/>
          </w:tcPr>
          <w:p>
            <w:pPr>
              <w:jc w:val="center"/>
              <w:rPr>
                <w:color w:val="000000" w:themeColor="text1"/>
              </w:rPr>
            </w:pPr>
            <w:r>
              <w:rPr>
                <w:rFonts w:hint="eastAsia"/>
                <w:color w:val="000000" w:themeColor="text1"/>
              </w:rPr>
              <w:t>1973.7</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正高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中山大学</w:t>
            </w:r>
          </w:p>
        </w:tc>
        <w:tc>
          <w:tcPr>
            <w:tcW w:w="993" w:type="dxa"/>
            <w:vAlign w:val="center"/>
          </w:tcPr>
          <w:p>
            <w:pPr>
              <w:jc w:val="center"/>
              <w:rPr>
                <w:color w:val="000000" w:themeColor="text1"/>
              </w:rPr>
            </w:pPr>
            <w:r>
              <w:rPr>
                <w:rFonts w:hint="eastAsia"/>
                <w:color w:val="000000" w:themeColor="text1"/>
              </w:rPr>
              <w:t>校青年英才</w:t>
            </w:r>
          </w:p>
        </w:tc>
        <w:tc>
          <w:tcPr>
            <w:tcW w:w="1511" w:type="dxa"/>
            <w:vAlign w:val="center"/>
          </w:tcPr>
          <w:p>
            <w:pPr>
              <w:jc w:val="center"/>
              <w:rPr>
                <w:color w:val="000000" w:themeColor="text1"/>
              </w:rPr>
            </w:pPr>
          </w:p>
        </w:tc>
        <w:tc>
          <w:tcPr>
            <w:tcW w:w="1108" w:type="dxa"/>
            <w:vAlign w:val="center"/>
          </w:tcPr>
          <w:p>
            <w:pPr>
              <w:jc w:val="center"/>
              <w:rPr>
                <w:color w:val="000000" w:themeColor="text1"/>
              </w:rPr>
            </w:pPr>
            <w:r>
              <w:rPr>
                <w:rFonts w:hint="eastAsia"/>
                <w:color w:val="000000" w:themeColor="text1"/>
              </w:rPr>
              <w:t>语言学及应用语言学、汉语国际教育</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jc w:val="center"/>
              <w:rPr>
                <w:color w:val="000000" w:themeColor="text1"/>
              </w:rPr>
            </w:pPr>
            <w:r>
              <w:rPr>
                <w:rFonts w:hint="eastAsia"/>
                <w:color w:val="000000" w:themeColor="text1"/>
              </w:rPr>
              <w:t>2</w:t>
            </w:r>
          </w:p>
        </w:tc>
        <w:tc>
          <w:tcPr>
            <w:tcW w:w="954" w:type="dxa"/>
            <w:vAlign w:val="center"/>
          </w:tcPr>
          <w:p>
            <w:pPr>
              <w:jc w:val="center"/>
              <w:rPr>
                <w:color w:val="000000" w:themeColor="text1"/>
              </w:rPr>
            </w:pPr>
            <w:r>
              <w:rPr>
                <w:rFonts w:hint="eastAsia"/>
                <w:color w:val="000000" w:themeColor="text1"/>
              </w:rPr>
              <w:t>李华</w:t>
            </w:r>
          </w:p>
        </w:tc>
        <w:tc>
          <w:tcPr>
            <w:tcW w:w="1183" w:type="dxa"/>
            <w:gridSpan w:val="2"/>
            <w:vAlign w:val="center"/>
          </w:tcPr>
          <w:p>
            <w:pPr>
              <w:jc w:val="center"/>
              <w:rPr>
                <w:color w:val="000000" w:themeColor="text1"/>
              </w:rPr>
            </w:pPr>
            <w:r>
              <w:rPr>
                <w:rFonts w:hint="eastAsia"/>
                <w:color w:val="000000" w:themeColor="text1"/>
                <w:szCs w:val="21"/>
              </w:rPr>
              <w:t>19</w:t>
            </w:r>
            <w:r>
              <w:rPr>
                <w:color w:val="000000" w:themeColor="text1"/>
                <w:szCs w:val="21"/>
              </w:rPr>
              <w:t>73</w:t>
            </w:r>
            <w:r>
              <w:rPr>
                <w:rFonts w:hint="eastAsia"/>
                <w:color w:val="000000" w:themeColor="text1"/>
                <w:szCs w:val="21"/>
              </w:rPr>
              <w:t>.</w:t>
            </w:r>
            <w:r>
              <w:rPr>
                <w:color w:val="000000" w:themeColor="text1"/>
                <w:szCs w:val="21"/>
              </w:rPr>
              <w:t>12</w:t>
            </w:r>
          </w:p>
        </w:tc>
        <w:tc>
          <w:tcPr>
            <w:tcW w:w="538" w:type="dxa"/>
            <w:vAlign w:val="center"/>
          </w:tcPr>
          <w:p>
            <w:pPr>
              <w:jc w:val="center"/>
              <w:rPr>
                <w:color w:val="000000" w:themeColor="text1"/>
              </w:rPr>
            </w:pPr>
            <w:r>
              <w:rPr>
                <w:rFonts w:hint="eastAsia"/>
                <w:color w:val="000000" w:themeColor="text1"/>
                <w:szCs w:val="21"/>
              </w:rPr>
              <w:t>女</w:t>
            </w:r>
          </w:p>
        </w:tc>
        <w:tc>
          <w:tcPr>
            <w:tcW w:w="981" w:type="dxa"/>
            <w:vAlign w:val="center"/>
          </w:tcPr>
          <w:p>
            <w:pPr>
              <w:jc w:val="center"/>
              <w:rPr>
                <w:color w:val="000000" w:themeColor="text1"/>
              </w:rPr>
            </w:pPr>
            <w:r>
              <w:rPr>
                <w:rFonts w:hint="eastAsia"/>
                <w:color w:val="000000" w:themeColor="text1"/>
              </w:rPr>
              <w:t>正高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szCs w:val="21"/>
              </w:rPr>
              <w:t>硕士</w:t>
            </w:r>
          </w:p>
        </w:tc>
        <w:tc>
          <w:tcPr>
            <w:tcW w:w="1559" w:type="dxa"/>
            <w:vAlign w:val="center"/>
          </w:tcPr>
          <w:p>
            <w:pPr>
              <w:jc w:val="center"/>
              <w:rPr>
                <w:color w:val="000000" w:themeColor="text1"/>
              </w:rPr>
            </w:pPr>
            <w:r>
              <w:rPr>
                <w:rFonts w:hint="eastAsia"/>
                <w:color w:val="000000" w:themeColor="text1"/>
                <w:szCs w:val="21"/>
              </w:rPr>
              <w:t>华北电力大学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r>
              <w:rPr>
                <w:rFonts w:hint="eastAsia"/>
                <w:color w:val="000000" w:themeColor="text1"/>
                <w:szCs w:val="21"/>
              </w:rPr>
              <w:t>公派/1年</w:t>
            </w:r>
          </w:p>
        </w:tc>
        <w:tc>
          <w:tcPr>
            <w:tcW w:w="1108" w:type="dxa"/>
            <w:vAlign w:val="center"/>
          </w:tcPr>
          <w:p>
            <w:pPr>
              <w:jc w:val="center"/>
              <w:rPr>
                <w:color w:val="000000" w:themeColor="text1"/>
              </w:rPr>
            </w:pPr>
            <w:r>
              <w:rPr>
                <w:rFonts w:hint="eastAsia"/>
                <w:color w:val="000000" w:themeColor="text1"/>
                <w:szCs w:val="21"/>
              </w:rPr>
              <w:t>二语教学</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jc w:val="center"/>
              <w:rPr>
                <w:color w:val="000000" w:themeColor="text1"/>
              </w:rPr>
            </w:pPr>
            <w:r>
              <w:rPr>
                <w:rFonts w:hint="eastAsia"/>
                <w:color w:val="000000" w:themeColor="text1"/>
              </w:rPr>
              <w:t>3</w:t>
            </w:r>
          </w:p>
        </w:tc>
        <w:tc>
          <w:tcPr>
            <w:tcW w:w="954" w:type="dxa"/>
            <w:vAlign w:val="center"/>
          </w:tcPr>
          <w:p>
            <w:pPr>
              <w:jc w:val="center"/>
              <w:rPr>
                <w:color w:val="000000" w:themeColor="text1"/>
              </w:rPr>
            </w:pPr>
            <w:r>
              <w:rPr>
                <w:rFonts w:hint="eastAsia"/>
                <w:color w:val="000000" w:themeColor="text1"/>
              </w:rPr>
              <w:t>夏俊锁</w:t>
            </w:r>
          </w:p>
        </w:tc>
        <w:tc>
          <w:tcPr>
            <w:tcW w:w="1183" w:type="dxa"/>
            <w:gridSpan w:val="2"/>
            <w:vAlign w:val="center"/>
          </w:tcPr>
          <w:p>
            <w:pPr>
              <w:jc w:val="center"/>
              <w:rPr>
                <w:color w:val="000000" w:themeColor="text1"/>
              </w:rPr>
            </w:pPr>
            <w:r>
              <w:rPr>
                <w:rFonts w:hint="eastAsia"/>
                <w:color w:val="000000" w:themeColor="text1"/>
              </w:rPr>
              <w:t>1977.12</w:t>
            </w:r>
          </w:p>
        </w:tc>
        <w:tc>
          <w:tcPr>
            <w:tcW w:w="538" w:type="dxa"/>
            <w:vAlign w:val="center"/>
          </w:tcPr>
          <w:p>
            <w:pPr>
              <w:jc w:val="center"/>
              <w:rPr>
                <w:color w:val="000000" w:themeColor="text1"/>
              </w:rPr>
            </w:pPr>
            <w:r>
              <w:rPr>
                <w:rFonts w:hint="eastAsia"/>
                <w:color w:val="000000" w:themeColor="text1"/>
              </w:rPr>
              <w:t>男</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p>
        </w:tc>
        <w:tc>
          <w:tcPr>
            <w:tcW w:w="762" w:type="dxa"/>
            <w:vAlign w:val="center"/>
          </w:tcPr>
          <w:p>
            <w:pPr>
              <w:jc w:val="center"/>
              <w:rPr>
                <w:color w:val="000000" w:themeColor="text1"/>
              </w:rPr>
            </w:pPr>
            <w:r>
              <w:rPr>
                <w:rFonts w:hint="eastAsia"/>
                <w:color w:val="000000" w:themeColor="text1"/>
              </w:rPr>
              <w:t>硕士</w:t>
            </w:r>
          </w:p>
        </w:tc>
        <w:tc>
          <w:tcPr>
            <w:tcW w:w="1559" w:type="dxa"/>
            <w:vAlign w:val="center"/>
          </w:tcPr>
          <w:p>
            <w:pPr>
              <w:jc w:val="center"/>
              <w:rPr>
                <w:color w:val="000000" w:themeColor="text1"/>
              </w:rPr>
            </w:pPr>
            <w:r>
              <w:rPr>
                <w:rFonts w:hint="eastAsia"/>
                <w:color w:val="000000" w:themeColor="text1"/>
              </w:rPr>
              <w:t>浙江大学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r>
              <w:rPr>
                <w:rFonts w:hint="eastAsia"/>
                <w:color w:val="000000" w:themeColor="text1"/>
              </w:rPr>
              <w:t>公派/3年</w:t>
            </w:r>
          </w:p>
        </w:tc>
        <w:tc>
          <w:tcPr>
            <w:tcW w:w="1108" w:type="dxa"/>
            <w:vAlign w:val="center"/>
          </w:tcPr>
          <w:p>
            <w:pPr>
              <w:jc w:val="center"/>
              <w:rPr>
                <w:color w:val="000000" w:themeColor="text1"/>
              </w:rPr>
            </w:pPr>
            <w:r>
              <w:rPr>
                <w:rFonts w:hint="eastAsia"/>
                <w:color w:val="000000" w:themeColor="text1"/>
              </w:rPr>
              <w:t>英语教学、英美文学</w:t>
            </w:r>
          </w:p>
        </w:tc>
        <w:tc>
          <w:tcPr>
            <w:tcW w:w="1777" w:type="dxa"/>
            <w:vAlign w:val="center"/>
          </w:tcPr>
          <w:p>
            <w:pPr>
              <w:jc w:val="center"/>
              <w:rPr>
                <w:color w:val="000000" w:themeColor="text1"/>
              </w:rPr>
            </w:pPr>
          </w:p>
        </w:tc>
        <w:tc>
          <w:tcPr>
            <w:tcW w:w="1413" w:type="dxa"/>
            <w:vAlign w:val="center"/>
          </w:tcPr>
          <w:p>
            <w:pPr>
              <w:jc w:val="center"/>
              <w:rPr>
                <w:color w:val="000000" w:themeColor="text1"/>
              </w:rPr>
            </w:pPr>
            <w:r>
              <w:rPr>
                <w:rFonts w:hint="eastAsia"/>
                <w:color w:val="000000" w:themeColor="text1"/>
              </w:rPr>
              <w:t>罗马尼亚克鲁日孔子学院中方院长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jc w:val="center"/>
              <w:rPr>
                <w:color w:val="000000" w:themeColor="text1"/>
              </w:rPr>
            </w:pPr>
            <w:r>
              <w:rPr>
                <w:rFonts w:hint="eastAsia"/>
                <w:color w:val="000000" w:themeColor="text1"/>
              </w:rPr>
              <w:t>4</w:t>
            </w:r>
          </w:p>
        </w:tc>
        <w:tc>
          <w:tcPr>
            <w:tcW w:w="954" w:type="dxa"/>
            <w:vAlign w:val="center"/>
          </w:tcPr>
          <w:p>
            <w:pPr>
              <w:jc w:val="center"/>
              <w:rPr>
                <w:color w:val="000000" w:themeColor="text1"/>
              </w:rPr>
            </w:pPr>
            <w:r>
              <w:rPr>
                <w:rFonts w:hint="eastAsia"/>
                <w:color w:val="000000" w:themeColor="text1"/>
              </w:rPr>
              <w:t>杨瑞</w:t>
            </w:r>
          </w:p>
        </w:tc>
        <w:tc>
          <w:tcPr>
            <w:tcW w:w="1183" w:type="dxa"/>
            <w:gridSpan w:val="2"/>
            <w:vAlign w:val="center"/>
          </w:tcPr>
          <w:p>
            <w:pPr>
              <w:jc w:val="center"/>
              <w:rPr>
                <w:color w:val="000000" w:themeColor="text1"/>
              </w:rPr>
            </w:pPr>
            <w:r>
              <w:rPr>
                <w:rFonts w:hint="eastAsia"/>
                <w:color w:val="000000" w:themeColor="text1"/>
              </w:rPr>
              <w:t>1977.7</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浙江大学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p>
        </w:tc>
        <w:tc>
          <w:tcPr>
            <w:tcW w:w="1108" w:type="dxa"/>
            <w:vAlign w:val="center"/>
          </w:tcPr>
          <w:p>
            <w:pPr>
              <w:jc w:val="center"/>
              <w:rPr>
                <w:color w:val="000000" w:themeColor="text1"/>
              </w:rPr>
            </w:pPr>
            <w:r>
              <w:rPr>
                <w:rFonts w:hint="eastAsia"/>
                <w:color w:val="000000" w:themeColor="text1"/>
              </w:rPr>
              <w:t>汉语国际教育  古代文学</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color w:val="000000" w:themeColor="text1"/>
              </w:rPr>
            </w:pPr>
            <w:r>
              <w:rPr>
                <w:rFonts w:hint="eastAsia" w:asciiTheme="minorEastAsia" w:hAnsiTheme="minorEastAsia" w:cstheme="minorEastAsia"/>
                <w:color w:val="000000" w:themeColor="text1"/>
                <w:kern w:val="0"/>
                <w:sz w:val="22"/>
              </w:rPr>
              <w:t>5</w:t>
            </w:r>
          </w:p>
        </w:tc>
        <w:tc>
          <w:tcPr>
            <w:tcW w:w="954" w:type="dxa"/>
            <w:vAlign w:val="center"/>
          </w:tcPr>
          <w:p>
            <w:pPr>
              <w:jc w:val="center"/>
              <w:rPr>
                <w:color w:val="000000" w:themeColor="text1"/>
              </w:rPr>
            </w:pPr>
            <w:r>
              <w:rPr>
                <w:rFonts w:hint="eastAsia"/>
                <w:color w:val="000000" w:themeColor="text1"/>
              </w:rPr>
              <w:t>陈雪芬</w:t>
            </w:r>
          </w:p>
        </w:tc>
        <w:tc>
          <w:tcPr>
            <w:tcW w:w="1183" w:type="dxa"/>
            <w:gridSpan w:val="2"/>
            <w:vAlign w:val="center"/>
          </w:tcPr>
          <w:p>
            <w:pPr>
              <w:jc w:val="center"/>
              <w:rPr>
                <w:color w:val="000000" w:themeColor="text1"/>
              </w:rPr>
            </w:pPr>
            <w:r>
              <w:rPr>
                <w:rFonts w:hint="eastAsia"/>
                <w:color w:val="000000" w:themeColor="text1"/>
              </w:rPr>
              <w:t>1974.11</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中级</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浙江大学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r>
              <w:rPr>
                <w:rFonts w:hint="eastAsia"/>
                <w:color w:val="000000" w:themeColor="text1"/>
              </w:rPr>
              <w:t>公派/1年</w:t>
            </w:r>
          </w:p>
        </w:tc>
        <w:tc>
          <w:tcPr>
            <w:tcW w:w="1108" w:type="dxa"/>
            <w:vAlign w:val="center"/>
          </w:tcPr>
          <w:p>
            <w:pPr>
              <w:jc w:val="center"/>
              <w:rPr>
                <w:color w:val="000000" w:themeColor="text1"/>
              </w:rPr>
            </w:pPr>
            <w:r>
              <w:rPr>
                <w:rFonts w:hint="eastAsia"/>
                <w:color w:val="000000" w:themeColor="text1"/>
              </w:rPr>
              <w:t>教育学、英语教学</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仿宋_GB2312" w:hAnsi="Calibri" w:eastAsia="仿宋_GB2312" w:cs="黑体"/>
                <w:color w:val="000000" w:themeColor="text1"/>
                <w:sz w:val="24"/>
                <w:szCs w:val="32"/>
              </w:rPr>
            </w:pPr>
            <w:r>
              <w:rPr>
                <w:rFonts w:hint="eastAsia" w:asciiTheme="minorEastAsia" w:hAnsiTheme="minorEastAsia" w:cstheme="minorEastAsia"/>
                <w:color w:val="000000" w:themeColor="text1"/>
                <w:kern w:val="0"/>
                <w:sz w:val="22"/>
              </w:rPr>
              <w:t>6</w:t>
            </w:r>
          </w:p>
        </w:tc>
        <w:tc>
          <w:tcPr>
            <w:tcW w:w="954" w:type="dxa"/>
            <w:vAlign w:val="center"/>
          </w:tcPr>
          <w:p>
            <w:pPr>
              <w:jc w:val="center"/>
              <w:rPr>
                <w:color w:val="000000" w:themeColor="text1"/>
              </w:rPr>
            </w:pPr>
            <w:r>
              <w:rPr>
                <w:rFonts w:hint="eastAsia"/>
                <w:color w:val="000000" w:themeColor="text1"/>
              </w:rPr>
              <w:t>张琴</w:t>
            </w:r>
          </w:p>
        </w:tc>
        <w:tc>
          <w:tcPr>
            <w:tcW w:w="1183" w:type="dxa"/>
            <w:gridSpan w:val="2"/>
            <w:vAlign w:val="center"/>
          </w:tcPr>
          <w:p>
            <w:pPr>
              <w:jc w:val="center"/>
              <w:rPr>
                <w:color w:val="000000" w:themeColor="text1"/>
              </w:rPr>
            </w:pPr>
            <w:r>
              <w:rPr>
                <w:rFonts w:hint="eastAsia"/>
                <w:color w:val="000000" w:themeColor="text1"/>
              </w:rPr>
              <w:t>1976.1</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浙江大学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p>
        </w:tc>
        <w:tc>
          <w:tcPr>
            <w:tcW w:w="1108" w:type="dxa"/>
            <w:vAlign w:val="center"/>
          </w:tcPr>
          <w:p>
            <w:pPr>
              <w:jc w:val="center"/>
              <w:rPr>
                <w:color w:val="000000" w:themeColor="text1"/>
              </w:rPr>
            </w:pPr>
            <w:r>
              <w:rPr>
                <w:rFonts w:hint="eastAsia"/>
                <w:color w:val="000000" w:themeColor="text1"/>
              </w:rPr>
              <w:t>宋明理学、佛教思想文化</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w:t>
            </w:r>
          </w:p>
        </w:tc>
        <w:tc>
          <w:tcPr>
            <w:tcW w:w="954"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韩晓亚</w:t>
            </w:r>
          </w:p>
        </w:tc>
        <w:tc>
          <w:tcPr>
            <w:tcW w:w="1183" w:type="dxa"/>
            <w:gridSpan w:val="2"/>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1975.10.19</w:t>
            </w:r>
          </w:p>
        </w:tc>
        <w:tc>
          <w:tcPr>
            <w:tcW w:w="538"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女</w:t>
            </w:r>
          </w:p>
        </w:tc>
        <w:tc>
          <w:tcPr>
            <w:tcW w:w="981"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副高</w:t>
            </w:r>
          </w:p>
        </w:tc>
        <w:tc>
          <w:tcPr>
            <w:tcW w:w="988" w:type="dxa"/>
            <w:vAlign w:val="center"/>
          </w:tcPr>
          <w:p>
            <w:pPr>
              <w:widowControl/>
              <w:jc w:val="center"/>
              <w:textAlignment w:val="center"/>
              <w:rPr>
                <w:rFonts w:asciiTheme="minorEastAsia" w:hAnsiTheme="minorEastAsia" w:cstheme="minorEastAsia"/>
                <w:color w:val="000000" w:themeColor="text1"/>
                <w:kern w:val="0"/>
                <w:sz w:val="22"/>
              </w:rPr>
            </w:pPr>
          </w:p>
        </w:tc>
        <w:tc>
          <w:tcPr>
            <w:tcW w:w="762"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硕士</w:t>
            </w:r>
          </w:p>
        </w:tc>
        <w:tc>
          <w:tcPr>
            <w:tcW w:w="1559"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山东师范大学</w:t>
            </w:r>
          </w:p>
        </w:tc>
        <w:tc>
          <w:tcPr>
            <w:tcW w:w="993" w:type="dxa"/>
            <w:vAlign w:val="center"/>
          </w:tcPr>
          <w:p>
            <w:pPr>
              <w:widowControl/>
              <w:jc w:val="center"/>
              <w:textAlignment w:val="center"/>
              <w:rPr>
                <w:rFonts w:asciiTheme="minorEastAsia" w:hAnsiTheme="minorEastAsia" w:cstheme="minorEastAsia"/>
                <w:color w:val="000000" w:themeColor="text1"/>
                <w:kern w:val="0"/>
                <w:sz w:val="22"/>
              </w:rPr>
            </w:pPr>
          </w:p>
        </w:tc>
        <w:tc>
          <w:tcPr>
            <w:tcW w:w="1511"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公派/2年</w:t>
            </w:r>
          </w:p>
        </w:tc>
        <w:tc>
          <w:tcPr>
            <w:tcW w:w="1108"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英语教学、英美文学</w:t>
            </w:r>
          </w:p>
        </w:tc>
        <w:tc>
          <w:tcPr>
            <w:tcW w:w="1777" w:type="dxa"/>
            <w:vAlign w:val="center"/>
          </w:tcPr>
          <w:p>
            <w:pPr>
              <w:widowControl/>
              <w:jc w:val="center"/>
              <w:textAlignment w:val="center"/>
              <w:rPr>
                <w:rFonts w:asciiTheme="minorEastAsia" w:hAnsiTheme="minorEastAsia" w:cstheme="minorEastAsia"/>
                <w:color w:val="000000" w:themeColor="text1"/>
                <w:kern w:val="0"/>
                <w:sz w:val="22"/>
              </w:rPr>
            </w:pPr>
          </w:p>
        </w:tc>
        <w:tc>
          <w:tcPr>
            <w:tcW w:w="1413" w:type="dxa"/>
            <w:vAlign w:val="center"/>
          </w:tcPr>
          <w:p>
            <w:pPr>
              <w:widowControl/>
              <w:jc w:val="center"/>
              <w:textAlignment w:val="center"/>
              <w:rPr>
                <w:rFonts w:asciiTheme="minorEastAsia" w:hAnsiTheme="minorEastAsia" w:cstheme="minorEastAsia"/>
                <w:color w:val="000000" w:themeColor="text1"/>
                <w:kern w:val="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仿宋_GB2312" w:hAnsi="Calibri" w:eastAsia="仿宋_GB2312" w:cs="黑体"/>
                <w:color w:val="000000" w:themeColor="text1"/>
                <w:sz w:val="24"/>
                <w:szCs w:val="32"/>
              </w:rPr>
            </w:pPr>
            <w:r>
              <w:rPr>
                <w:rFonts w:hint="eastAsia" w:asciiTheme="minorEastAsia" w:hAnsiTheme="minorEastAsia" w:cstheme="minorEastAsia"/>
                <w:color w:val="000000" w:themeColor="text1"/>
                <w:kern w:val="0"/>
                <w:sz w:val="22"/>
              </w:rPr>
              <w:t>8</w:t>
            </w:r>
          </w:p>
        </w:tc>
        <w:tc>
          <w:tcPr>
            <w:tcW w:w="954" w:type="dxa"/>
            <w:vAlign w:val="center"/>
          </w:tcPr>
          <w:p>
            <w:pPr>
              <w:jc w:val="center"/>
              <w:rPr>
                <w:color w:val="000000" w:themeColor="text1"/>
              </w:rPr>
            </w:pPr>
            <w:r>
              <w:rPr>
                <w:rFonts w:hint="eastAsia"/>
                <w:color w:val="000000" w:themeColor="text1"/>
              </w:rPr>
              <w:t>夏利亚</w:t>
            </w:r>
          </w:p>
        </w:tc>
        <w:tc>
          <w:tcPr>
            <w:tcW w:w="1183" w:type="dxa"/>
            <w:gridSpan w:val="2"/>
            <w:vAlign w:val="center"/>
          </w:tcPr>
          <w:p>
            <w:pPr>
              <w:jc w:val="center"/>
              <w:rPr>
                <w:color w:val="000000" w:themeColor="text1"/>
              </w:rPr>
            </w:pPr>
            <w:r>
              <w:rPr>
                <w:rFonts w:hint="eastAsia"/>
                <w:color w:val="000000" w:themeColor="text1"/>
              </w:rPr>
              <w:t>1976.8</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华东师范大学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p>
        </w:tc>
        <w:tc>
          <w:tcPr>
            <w:tcW w:w="1108" w:type="dxa"/>
            <w:vAlign w:val="center"/>
          </w:tcPr>
          <w:p>
            <w:pPr>
              <w:jc w:val="center"/>
              <w:rPr>
                <w:color w:val="000000" w:themeColor="text1"/>
              </w:rPr>
            </w:pPr>
            <w:r>
              <w:rPr>
                <w:rFonts w:hint="eastAsia"/>
                <w:color w:val="000000" w:themeColor="text1"/>
              </w:rPr>
              <w:t>语言文字、油画、剪纸</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w:t>
            </w:r>
          </w:p>
        </w:tc>
        <w:tc>
          <w:tcPr>
            <w:tcW w:w="954" w:type="dxa"/>
            <w:vAlign w:val="center"/>
          </w:tcPr>
          <w:p>
            <w:pPr>
              <w:jc w:val="center"/>
              <w:rPr>
                <w:color w:val="000000" w:themeColor="text1"/>
              </w:rPr>
            </w:pPr>
            <w:r>
              <w:rPr>
                <w:rFonts w:hint="eastAsia"/>
                <w:color w:val="000000" w:themeColor="text1"/>
              </w:rPr>
              <w:t>凌喆</w:t>
            </w:r>
          </w:p>
        </w:tc>
        <w:tc>
          <w:tcPr>
            <w:tcW w:w="1183" w:type="dxa"/>
            <w:gridSpan w:val="2"/>
            <w:vAlign w:val="center"/>
          </w:tcPr>
          <w:p>
            <w:pPr>
              <w:jc w:val="center"/>
              <w:rPr>
                <w:color w:val="000000" w:themeColor="text1"/>
              </w:rPr>
            </w:pPr>
            <w:r>
              <w:rPr>
                <w:rFonts w:hint="eastAsia"/>
                <w:color w:val="000000" w:themeColor="text1"/>
              </w:rPr>
              <w:t>1979.01</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浙江大学</w:t>
            </w:r>
          </w:p>
        </w:tc>
        <w:tc>
          <w:tcPr>
            <w:tcW w:w="993" w:type="dxa"/>
            <w:vAlign w:val="center"/>
          </w:tcPr>
          <w:p>
            <w:pPr>
              <w:jc w:val="center"/>
              <w:rPr>
                <w:color w:val="000000" w:themeColor="text1"/>
              </w:rPr>
            </w:pPr>
            <w:r>
              <w:rPr>
                <w:rFonts w:hint="eastAsia"/>
                <w:color w:val="000000" w:themeColor="text1"/>
              </w:rPr>
              <w:t>校青年英才</w:t>
            </w:r>
          </w:p>
        </w:tc>
        <w:tc>
          <w:tcPr>
            <w:tcW w:w="1511" w:type="dxa"/>
            <w:vAlign w:val="center"/>
          </w:tcPr>
          <w:p>
            <w:pPr>
              <w:jc w:val="center"/>
              <w:rPr>
                <w:color w:val="000000" w:themeColor="text1"/>
              </w:rPr>
            </w:pPr>
            <w:r>
              <w:rPr>
                <w:rFonts w:hint="eastAsia"/>
                <w:color w:val="000000" w:themeColor="text1"/>
              </w:rPr>
              <w:t>公派/半年</w:t>
            </w:r>
          </w:p>
        </w:tc>
        <w:tc>
          <w:tcPr>
            <w:tcW w:w="1108" w:type="dxa"/>
            <w:vAlign w:val="center"/>
          </w:tcPr>
          <w:p>
            <w:pPr>
              <w:jc w:val="center"/>
              <w:rPr>
                <w:color w:val="000000" w:themeColor="text1"/>
              </w:rPr>
            </w:pPr>
            <w:r>
              <w:rPr>
                <w:rFonts w:hint="eastAsia"/>
                <w:color w:val="000000" w:themeColor="text1"/>
              </w:rPr>
              <w:t>中外文化比较</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r>
              <w:rPr>
                <w:rFonts w:hint="eastAsia"/>
                <w:color w:val="000000" w:themeColor="text1"/>
              </w:rPr>
              <w:t>浙江省比较文学与外国文学学会秘书长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仿宋_GB2312" w:hAnsi="Calibri" w:eastAsia="仿宋_GB2312" w:cs="黑体"/>
                <w:color w:val="000000" w:themeColor="text1"/>
                <w:sz w:val="24"/>
                <w:szCs w:val="32"/>
              </w:rPr>
            </w:pPr>
            <w:r>
              <w:rPr>
                <w:rFonts w:hint="eastAsia" w:asciiTheme="minorEastAsia" w:hAnsiTheme="minorEastAsia" w:cstheme="minorEastAsia"/>
                <w:color w:val="000000" w:themeColor="text1"/>
                <w:kern w:val="0"/>
                <w:sz w:val="22"/>
              </w:rPr>
              <w:t>10</w:t>
            </w:r>
          </w:p>
        </w:tc>
        <w:tc>
          <w:tcPr>
            <w:tcW w:w="954" w:type="dxa"/>
            <w:vAlign w:val="center"/>
          </w:tcPr>
          <w:p>
            <w:pPr>
              <w:jc w:val="center"/>
              <w:rPr>
                <w:color w:val="000000" w:themeColor="text1"/>
              </w:rPr>
            </w:pPr>
            <w:r>
              <w:rPr>
                <w:rFonts w:hint="eastAsia"/>
                <w:color w:val="000000" w:themeColor="text1"/>
              </w:rPr>
              <w:t>于云</w:t>
            </w:r>
          </w:p>
        </w:tc>
        <w:tc>
          <w:tcPr>
            <w:tcW w:w="1183" w:type="dxa"/>
            <w:gridSpan w:val="2"/>
            <w:vAlign w:val="center"/>
          </w:tcPr>
          <w:p>
            <w:pPr>
              <w:jc w:val="center"/>
              <w:rPr>
                <w:color w:val="000000" w:themeColor="text1"/>
              </w:rPr>
            </w:pPr>
            <w:r>
              <w:rPr>
                <w:rFonts w:hint="eastAsia"/>
                <w:color w:val="000000" w:themeColor="text1"/>
              </w:rPr>
              <w:t xml:space="preserve">1975.8 </w:t>
            </w:r>
          </w:p>
        </w:tc>
        <w:tc>
          <w:tcPr>
            <w:tcW w:w="538" w:type="dxa"/>
            <w:vAlign w:val="center"/>
          </w:tcPr>
          <w:p>
            <w:pPr>
              <w:jc w:val="center"/>
              <w:rPr>
                <w:color w:val="000000" w:themeColor="text1"/>
              </w:rPr>
            </w:pPr>
            <w:r>
              <w:rPr>
                <w:rFonts w:hint="eastAsia"/>
                <w:color w:val="000000" w:themeColor="text1"/>
              </w:rPr>
              <w:t>女</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复旦大学</w:t>
            </w:r>
          </w:p>
        </w:tc>
        <w:tc>
          <w:tcPr>
            <w:tcW w:w="993" w:type="dxa"/>
            <w:vAlign w:val="center"/>
          </w:tcPr>
          <w:p>
            <w:pPr>
              <w:jc w:val="center"/>
              <w:rPr>
                <w:color w:val="000000" w:themeColor="text1"/>
              </w:rPr>
            </w:pPr>
            <w:r>
              <w:rPr>
                <w:rFonts w:hint="eastAsia"/>
                <w:color w:val="000000" w:themeColor="text1"/>
              </w:rPr>
              <w:t>浙江省151人才工程第三层次</w:t>
            </w:r>
          </w:p>
        </w:tc>
        <w:tc>
          <w:tcPr>
            <w:tcW w:w="1511" w:type="dxa"/>
            <w:vAlign w:val="center"/>
          </w:tcPr>
          <w:p>
            <w:pPr>
              <w:jc w:val="center"/>
              <w:rPr>
                <w:color w:val="000000" w:themeColor="text1"/>
              </w:rPr>
            </w:pPr>
            <w:r>
              <w:rPr>
                <w:rFonts w:hint="eastAsia"/>
                <w:color w:val="000000" w:themeColor="text1"/>
              </w:rPr>
              <w:t>公派/1年</w:t>
            </w:r>
          </w:p>
        </w:tc>
        <w:tc>
          <w:tcPr>
            <w:tcW w:w="1108" w:type="dxa"/>
            <w:vAlign w:val="center"/>
          </w:tcPr>
          <w:p>
            <w:pPr>
              <w:jc w:val="center"/>
              <w:rPr>
                <w:color w:val="000000" w:themeColor="text1"/>
              </w:rPr>
            </w:pPr>
            <w:r>
              <w:rPr>
                <w:rFonts w:hint="eastAsia"/>
                <w:color w:val="000000" w:themeColor="text1"/>
              </w:rPr>
              <w:t>世界文学与文化</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w:t>
            </w:r>
          </w:p>
        </w:tc>
        <w:tc>
          <w:tcPr>
            <w:tcW w:w="954" w:type="dxa"/>
            <w:vAlign w:val="center"/>
          </w:tcPr>
          <w:p>
            <w:pPr>
              <w:jc w:val="center"/>
              <w:rPr>
                <w:color w:val="000000" w:themeColor="text1"/>
              </w:rPr>
            </w:pPr>
            <w:r>
              <w:rPr>
                <w:rFonts w:hint="eastAsia"/>
                <w:color w:val="000000" w:themeColor="text1"/>
              </w:rPr>
              <w:t>赵学德</w:t>
            </w:r>
          </w:p>
        </w:tc>
        <w:tc>
          <w:tcPr>
            <w:tcW w:w="1183" w:type="dxa"/>
            <w:gridSpan w:val="2"/>
            <w:vAlign w:val="center"/>
          </w:tcPr>
          <w:p>
            <w:pPr>
              <w:jc w:val="center"/>
              <w:rPr>
                <w:color w:val="000000" w:themeColor="text1"/>
              </w:rPr>
            </w:pPr>
            <w:r>
              <w:rPr>
                <w:rFonts w:hint="eastAsia"/>
                <w:color w:val="000000" w:themeColor="text1"/>
              </w:rPr>
              <w:t>1980.6</w:t>
            </w:r>
          </w:p>
        </w:tc>
        <w:tc>
          <w:tcPr>
            <w:tcW w:w="538" w:type="dxa"/>
            <w:vAlign w:val="center"/>
          </w:tcPr>
          <w:p>
            <w:pPr>
              <w:jc w:val="center"/>
              <w:rPr>
                <w:color w:val="000000" w:themeColor="text1"/>
              </w:rPr>
            </w:pPr>
            <w:r>
              <w:rPr>
                <w:rFonts w:hint="eastAsia"/>
                <w:color w:val="000000" w:themeColor="text1"/>
              </w:rPr>
              <w:t>男</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复旦大学</w:t>
            </w:r>
          </w:p>
        </w:tc>
        <w:tc>
          <w:tcPr>
            <w:tcW w:w="993" w:type="dxa"/>
            <w:vAlign w:val="center"/>
          </w:tcPr>
          <w:p>
            <w:pPr>
              <w:jc w:val="center"/>
              <w:rPr>
                <w:rFonts w:ascii="仿宋_GB2312" w:hAnsi="Calibri" w:eastAsia="仿宋_GB2312" w:cs="黑体"/>
                <w:color w:val="000000" w:themeColor="text1"/>
                <w:sz w:val="24"/>
                <w:szCs w:val="32"/>
              </w:rPr>
            </w:pPr>
            <w:r>
              <w:rPr>
                <w:rFonts w:hint="eastAsia"/>
                <w:color w:val="000000" w:themeColor="text1"/>
              </w:rPr>
              <w:t>校优秀青年教师资助计划</w:t>
            </w:r>
          </w:p>
        </w:tc>
        <w:tc>
          <w:tcPr>
            <w:tcW w:w="1511" w:type="dxa"/>
            <w:vAlign w:val="center"/>
          </w:tcPr>
          <w:p>
            <w:pPr>
              <w:jc w:val="center"/>
              <w:rPr>
                <w:rFonts w:ascii="仿宋_GB2312" w:hAnsi="Calibri" w:eastAsia="仿宋_GB2312" w:cs="黑体"/>
                <w:color w:val="000000" w:themeColor="text1"/>
                <w:sz w:val="24"/>
                <w:szCs w:val="32"/>
              </w:rPr>
            </w:pPr>
            <w:r>
              <w:rPr>
                <w:rFonts w:hint="eastAsia"/>
                <w:color w:val="000000" w:themeColor="text1"/>
              </w:rPr>
              <w:t>公派/1年</w:t>
            </w:r>
          </w:p>
        </w:tc>
        <w:tc>
          <w:tcPr>
            <w:tcW w:w="1108" w:type="dxa"/>
            <w:vAlign w:val="center"/>
          </w:tcPr>
          <w:p>
            <w:pPr>
              <w:jc w:val="center"/>
              <w:rPr>
                <w:color w:val="000000" w:themeColor="text1"/>
              </w:rPr>
            </w:pPr>
            <w:r>
              <w:rPr>
                <w:rFonts w:hint="eastAsia"/>
                <w:color w:val="000000" w:themeColor="text1"/>
              </w:rPr>
              <w:t>认知语言学、英汉对比</w:t>
            </w:r>
          </w:p>
        </w:tc>
        <w:tc>
          <w:tcPr>
            <w:tcW w:w="1777" w:type="dxa"/>
            <w:vAlign w:val="center"/>
          </w:tcPr>
          <w:p>
            <w:pPr>
              <w:jc w:val="center"/>
              <w:rPr>
                <w:rFonts w:ascii="仿宋_GB2312" w:hAnsi="Calibri" w:eastAsia="仿宋_GB2312" w:cs="黑体"/>
                <w:color w:val="000000" w:themeColor="text1"/>
                <w:sz w:val="24"/>
                <w:szCs w:val="32"/>
              </w:rPr>
            </w:pPr>
          </w:p>
        </w:tc>
        <w:tc>
          <w:tcPr>
            <w:tcW w:w="1413" w:type="dxa"/>
            <w:vAlign w:val="center"/>
          </w:tcPr>
          <w:p>
            <w:pPr>
              <w:jc w:val="center"/>
              <w:rPr>
                <w:rFonts w:ascii="仿宋_GB2312" w:hAnsi="Calibri" w:eastAsia="仿宋_GB2312" w:cs="黑体"/>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30" w:type="dxa"/>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w:t>
            </w:r>
          </w:p>
        </w:tc>
        <w:tc>
          <w:tcPr>
            <w:tcW w:w="954" w:type="dxa"/>
            <w:vAlign w:val="center"/>
          </w:tcPr>
          <w:p>
            <w:pPr>
              <w:jc w:val="center"/>
              <w:rPr>
                <w:color w:val="000000" w:themeColor="text1"/>
              </w:rPr>
            </w:pPr>
            <w:r>
              <w:rPr>
                <w:rFonts w:hint="eastAsia"/>
                <w:color w:val="000000" w:themeColor="text1"/>
              </w:rPr>
              <w:t>李正爱</w:t>
            </w:r>
          </w:p>
        </w:tc>
        <w:tc>
          <w:tcPr>
            <w:tcW w:w="1183" w:type="dxa"/>
            <w:gridSpan w:val="2"/>
            <w:vAlign w:val="center"/>
          </w:tcPr>
          <w:p>
            <w:pPr>
              <w:jc w:val="center"/>
              <w:rPr>
                <w:color w:val="000000" w:themeColor="text1"/>
              </w:rPr>
            </w:pPr>
            <w:r>
              <w:rPr>
                <w:rFonts w:hint="eastAsia"/>
                <w:color w:val="000000" w:themeColor="text1"/>
              </w:rPr>
              <w:t>1978.11</w:t>
            </w:r>
          </w:p>
        </w:tc>
        <w:tc>
          <w:tcPr>
            <w:tcW w:w="538" w:type="dxa"/>
            <w:vAlign w:val="center"/>
          </w:tcPr>
          <w:p>
            <w:pPr>
              <w:jc w:val="center"/>
              <w:rPr>
                <w:color w:val="000000" w:themeColor="text1"/>
              </w:rPr>
            </w:pPr>
            <w:r>
              <w:rPr>
                <w:rFonts w:hint="eastAsia"/>
                <w:color w:val="000000" w:themeColor="text1"/>
              </w:rPr>
              <w:t>男</w:t>
            </w:r>
          </w:p>
        </w:tc>
        <w:tc>
          <w:tcPr>
            <w:tcW w:w="981" w:type="dxa"/>
            <w:vAlign w:val="center"/>
          </w:tcPr>
          <w:p>
            <w:pPr>
              <w:jc w:val="center"/>
              <w:rPr>
                <w:color w:val="000000" w:themeColor="text1"/>
              </w:rPr>
            </w:pPr>
            <w:r>
              <w:rPr>
                <w:rFonts w:hint="eastAsia"/>
                <w:color w:val="000000" w:themeColor="text1"/>
              </w:rPr>
              <w:t>副高</w:t>
            </w:r>
          </w:p>
        </w:tc>
        <w:tc>
          <w:tcPr>
            <w:tcW w:w="988" w:type="dxa"/>
            <w:vAlign w:val="center"/>
          </w:tcPr>
          <w:p>
            <w:pPr>
              <w:jc w:val="center"/>
              <w:rPr>
                <w:color w:val="000000" w:themeColor="text1"/>
              </w:rPr>
            </w:pPr>
            <w:r>
              <w:rPr>
                <w:rFonts w:hint="eastAsia" w:asciiTheme="minorEastAsia" w:hAnsiTheme="minorEastAsia" w:cstheme="minorEastAsia"/>
                <w:color w:val="000000" w:themeColor="text1"/>
                <w:szCs w:val="21"/>
              </w:rPr>
              <w:t>专硕导师</w:t>
            </w:r>
          </w:p>
        </w:tc>
        <w:tc>
          <w:tcPr>
            <w:tcW w:w="762" w:type="dxa"/>
            <w:vAlign w:val="center"/>
          </w:tcPr>
          <w:p>
            <w:pPr>
              <w:jc w:val="center"/>
              <w:rPr>
                <w:color w:val="000000" w:themeColor="text1"/>
              </w:rPr>
            </w:pPr>
            <w:r>
              <w:rPr>
                <w:rFonts w:hint="eastAsia"/>
                <w:color w:val="000000" w:themeColor="text1"/>
              </w:rPr>
              <w:t>博士</w:t>
            </w:r>
          </w:p>
        </w:tc>
        <w:tc>
          <w:tcPr>
            <w:tcW w:w="1559" w:type="dxa"/>
            <w:vAlign w:val="center"/>
          </w:tcPr>
          <w:p>
            <w:pPr>
              <w:jc w:val="center"/>
              <w:rPr>
                <w:color w:val="000000" w:themeColor="text1"/>
              </w:rPr>
            </w:pPr>
            <w:r>
              <w:rPr>
                <w:rFonts w:hint="eastAsia"/>
                <w:color w:val="000000" w:themeColor="text1"/>
              </w:rPr>
              <w:t>上海师范大学</w:t>
            </w:r>
          </w:p>
        </w:tc>
        <w:tc>
          <w:tcPr>
            <w:tcW w:w="993" w:type="dxa"/>
            <w:vAlign w:val="center"/>
          </w:tcPr>
          <w:p>
            <w:pPr>
              <w:jc w:val="center"/>
              <w:rPr>
                <w:color w:val="000000" w:themeColor="text1"/>
              </w:rPr>
            </w:pPr>
          </w:p>
        </w:tc>
        <w:tc>
          <w:tcPr>
            <w:tcW w:w="1511" w:type="dxa"/>
            <w:vAlign w:val="center"/>
          </w:tcPr>
          <w:p>
            <w:pPr>
              <w:jc w:val="center"/>
              <w:rPr>
                <w:color w:val="000000" w:themeColor="text1"/>
              </w:rPr>
            </w:pPr>
          </w:p>
        </w:tc>
        <w:tc>
          <w:tcPr>
            <w:tcW w:w="1108" w:type="dxa"/>
            <w:vAlign w:val="center"/>
          </w:tcPr>
          <w:p>
            <w:pPr>
              <w:jc w:val="center"/>
              <w:rPr>
                <w:color w:val="000000" w:themeColor="text1"/>
              </w:rPr>
            </w:pPr>
            <w:r>
              <w:rPr>
                <w:rFonts w:hint="eastAsia"/>
                <w:color w:val="000000" w:themeColor="text1"/>
              </w:rPr>
              <w:t>文化研究</w:t>
            </w:r>
          </w:p>
        </w:tc>
        <w:tc>
          <w:tcPr>
            <w:tcW w:w="1777" w:type="dxa"/>
            <w:vAlign w:val="center"/>
          </w:tcPr>
          <w:p>
            <w:pPr>
              <w:jc w:val="center"/>
              <w:rPr>
                <w:color w:val="000000" w:themeColor="text1"/>
              </w:rPr>
            </w:pPr>
          </w:p>
        </w:tc>
        <w:tc>
          <w:tcPr>
            <w:tcW w:w="1413" w:type="dxa"/>
            <w:vAlign w:val="center"/>
          </w:tcPr>
          <w:p>
            <w:pPr>
              <w:jc w:val="center"/>
              <w:rPr>
                <w:rFonts w:ascii="仿宋_GB2312" w:hAnsi="Calibri" w:eastAsia="仿宋_GB2312" w:cs="黑体"/>
                <w:color w:val="000000" w:themeColor="text1"/>
                <w:sz w:val="32"/>
                <w:szCs w:val="32"/>
              </w:rPr>
            </w:pPr>
          </w:p>
        </w:tc>
      </w:tr>
    </w:tbl>
    <w:p>
      <w:pPr>
        <w:spacing w:line="260" w:lineRule="exact"/>
        <w:rPr>
          <w:rFonts w:ascii="仿宋_GB2312" w:hAnsi="Calibri" w:eastAsia="仿宋_GB2312" w:cs="黑体"/>
          <w:color w:val="000000" w:themeColor="text1"/>
          <w:sz w:val="32"/>
          <w:szCs w:val="32"/>
        </w:rPr>
      </w:pPr>
    </w:p>
    <w:p>
      <w:pPr>
        <w:spacing w:line="260" w:lineRule="exact"/>
        <w:rPr>
          <w:rFonts w:ascii="仿宋_GB2312" w:hAnsi="Calibri" w:eastAsia="仿宋_GB2312" w:cs="黑体"/>
          <w:color w:val="000000" w:themeColor="text1"/>
          <w:sz w:val="32"/>
          <w:szCs w:val="32"/>
        </w:rPr>
      </w:pPr>
    </w:p>
    <w:p>
      <w:pPr>
        <w:spacing w:line="260" w:lineRule="exact"/>
        <w:rPr>
          <w:rFonts w:ascii="仿宋_GB2312" w:hAnsi="Calibri" w:eastAsia="仿宋_GB2312" w:cs="黑体"/>
          <w:color w:val="000000" w:themeColor="text1"/>
          <w:sz w:val="32"/>
          <w:szCs w:val="32"/>
        </w:rPr>
      </w:pPr>
    </w:p>
    <w:p>
      <w:pPr>
        <w:spacing w:line="260" w:lineRule="exact"/>
        <w:rPr>
          <w:rFonts w:ascii="仿宋_GB2312" w:hAnsi="Calibri" w:eastAsia="仿宋_GB2312" w:cs="黑体"/>
          <w:color w:val="000000" w:themeColor="text1"/>
          <w:sz w:val="32"/>
          <w:szCs w:val="32"/>
        </w:rPr>
      </w:pPr>
    </w:p>
    <w:p>
      <w:pPr>
        <w:spacing w:line="260" w:lineRule="exact"/>
        <w:rPr>
          <w:rFonts w:ascii="仿宋_GB2312" w:hAnsi="Calibri" w:eastAsia="仿宋_GB2312" w:cs="黑体"/>
          <w:color w:val="000000" w:themeColor="text1"/>
          <w:sz w:val="32"/>
          <w:szCs w:val="32"/>
        </w:rPr>
      </w:pPr>
    </w:p>
    <w:tbl>
      <w:tblPr>
        <w:tblStyle w:val="30"/>
        <w:tblW w:w="15043" w:type="dxa"/>
        <w:jc w:val="center"/>
        <w:tblInd w:w="-17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13"/>
        <w:gridCol w:w="2552"/>
        <w:gridCol w:w="1984"/>
        <w:gridCol w:w="1701"/>
        <w:gridCol w:w="1985"/>
        <w:gridCol w:w="1984"/>
        <w:gridCol w:w="15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5043" w:type="dxa"/>
            <w:gridSpan w:val="8"/>
            <w:tcBorders>
              <w:top w:val="single" w:color="auto" w:sz="12" w:space="0"/>
            </w:tcBorders>
            <w:vAlign w:val="center"/>
          </w:tcPr>
          <w:p>
            <w:pPr>
              <w:spacing w:line="320" w:lineRule="exact"/>
              <w:rPr>
                <w:rFonts w:ascii="仿宋_GB2312" w:hAnsi="Calibri" w:eastAsia="仿宋_GB2312" w:cs="黑体"/>
                <w:b/>
                <w:color w:val="000000" w:themeColor="text1"/>
                <w:sz w:val="32"/>
                <w:szCs w:val="32"/>
              </w:rPr>
            </w:pPr>
            <w:r>
              <w:rPr>
                <w:rFonts w:hint="eastAsia" w:ascii="仿宋_GB2312" w:hAnsi="黑体" w:eastAsia="仿宋_GB2312" w:cs="黑体"/>
                <w:b/>
                <w:bCs/>
                <w:color w:val="000000" w:themeColor="text1"/>
                <w:sz w:val="32"/>
                <w:szCs w:val="32"/>
              </w:rPr>
              <w:t>I-2-3团队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jc w:val="center"/>
        </w:trPr>
        <w:tc>
          <w:tcPr>
            <w:tcW w:w="75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序号</w:t>
            </w:r>
          </w:p>
        </w:tc>
        <w:tc>
          <w:tcPr>
            <w:tcW w:w="2513"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团队类别</w:t>
            </w:r>
          </w:p>
        </w:tc>
        <w:tc>
          <w:tcPr>
            <w:tcW w:w="2552"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团队名称/研究方向</w:t>
            </w:r>
          </w:p>
        </w:tc>
        <w:tc>
          <w:tcPr>
            <w:tcW w:w="198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学术带头人姓名</w:t>
            </w:r>
          </w:p>
        </w:tc>
        <w:tc>
          <w:tcPr>
            <w:tcW w:w="1701"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带头人</w:t>
            </w:r>
          </w:p>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出生年月</w:t>
            </w:r>
          </w:p>
        </w:tc>
        <w:tc>
          <w:tcPr>
            <w:tcW w:w="1985"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资助金额</w:t>
            </w:r>
            <w:r>
              <w:rPr>
                <w:rFonts w:hint="eastAsia" w:ascii="仿宋_GB2312" w:hAnsi="Calibri" w:eastAsia="仿宋_GB2312" w:cs="黑体"/>
                <w:color w:val="000000" w:themeColor="text1"/>
                <w:sz w:val="24"/>
                <w:szCs w:val="32"/>
              </w:rPr>
              <w:t>（万元）</w:t>
            </w:r>
          </w:p>
        </w:tc>
        <w:tc>
          <w:tcPr>
            <w:tcW w:w="198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资助期限/年度</w:t>
            </w:r>
          </w:p>
        </w:tc>
        <w:tc>
          <w:tcPr>
            <w:tcW w:w="1566"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758"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1</w:t>
            </w:r>
          </w:p>
        </w:tc>
        <w:tc>
          <w:tcPr>
            <w:tcW w:w="2513"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教学团队</w:t>
            </w:r>
          </w:p>
        </w:tc>
        <w:tc>
          <w:tcPr>
            <w:tcW w:w="2552"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中国语言与文化（面向留学生）教学团队</w:t>
            </w:r>
          </w:p>
        </w:tc>
        <w:tc>
          <w:tcPr>
            <w:tcW w:w="1984"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严慧仙</w:t>
            </w:r>
          </w:p>
        </w:tc>
        <w:tc>
          <w:tcPr>
            <w:tcW w:w="1701" w:type="dxa"/>
            <w:vAlign w:val="center"/>
          </w:tcPr>
          <w:p>
            <w:pPr>
              <w:jc w:val="center"/>
              <w:rPr>
                <w:rFonts w:ascii="仿宋_GB2312" w:hAnsi="Calibri" w:eastAsia="仿宋_GB2312" w:cs="黑体"/>
                <w:color w:val="000000" w:themeColor="text1"/>
                <w:sz w:val="24"/>
                <w:szCs w:val="32"/>
              </w:rPr>
            </w:pPr>
            <w:r>
              <w:rPr>
                <w:rFonts w:hint="eastAsia" w:asciiTheme="minorEastAsia" w:hAnsiTheme="minorEastAsia" w:cstheme="minorEastAsia"/>
                <w:color w:val="000000" w:themeColor="text1"/>
                <w:szCs w:val="21"/>
              </w:rPr>
              <w:t>1962.10</w:t>
            </w:r>
          </w:p>
        </w:tc>
        <w:tc>
          <w:tcPr>
            <w:tcW w:w="1985"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10</w:t>
            </w:r>
          </w:p>
        </w:tc>
        <w:tc>
          <w:tcPr>
            <w:tcW w:w="1984"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3（2013-2016）</w:t>
            </w:r>
          </w:p>
        </w:tc>
        <w:tc>
          <w:tcPr>
            <w:tcW w:w="1566" w:type="dxa"/>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校级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758"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2</w:t>
            </w:r>
          </w:p>
        </w:tc>
        <w:tc>
          <w:tcPr>
            <w:tcW w:w="2513"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教学团队</w:t>
            </w:r>
          </w:p>
        </w:tc>
        <w:tc>
          <w:tcPr>
            <w:tcW w:w="2552"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大学英语高级英语教学团队</w:t>
            </w:r>
          </w:p>
        </w:tc>
        <w:tc>
          <w:tcPr>
            <w:tcW w:w="1984" w:type="dxa"/>
            <w:vAlign w:val="center"/>
          </w:tcPr>
          <w:p>
            <w:pPr>
              <w:jc w:val="center"/>
              <w:rPr>
                <w:rFonts w:ascii="仿宋_GB2312" w:hAnsi="Calibri" w:eastAsia="仿宋_GB2312" w:cs="黑体"/>
                <w:color w:val="000000" w:themeColor="text1"/>
                <w:sz w:val="24"/>
                <w:szCs w:val="32"/>
              </w:rPr>
            </w:pPr>
            <w:r>
              <w:rPr>
                <w:rFonts w:hint="eastAsia" w:cs="黑体" w:asciiTheme="minorEastAsia" w:hAnsiTheme="minorEastAsia"/>
                <w:color w:val="000000" w:themeColor="text1"/>
                <w:sz w:val="24"/>
                <w:szCs w:val="32"/>
              </w:rPr>
              <w:t>陈亚轩</w:t>
            </w:r>
          </w:p>
        </w:tc>
        <w:tc>
          <w:tcPr>
            <w:tcW w:w="1701" w:type="dxa"/>
            <w:vAlign w:val="center"/>
          </w:tcPr>
          <w:p>
            <w:pPr>
              <w:jc w:val="center"/>
              <w:rPr>
                <w:rFonts w:ascii="仿宋_GB2312" w:hAnsi="Calibri" w:eastAsia="仿宋_GB2312" w:cs="黑体"/>
                <w:color w:val="000000" w:themeColor="text1"/>
                <w:sz w:val="24"/>
                <w:szCs w:val="32"/>
              </w:rPr>
            </w:pPr>
            <w:r>
              <w:rPr>
                <w:rFonts w:hint="eastAsia" w:asciiTheme="minorEastAsia" w:hAnsiTheme="minorEastAsia"/>
                <w:color w:val="000000" w:themeColor="text1"/>
                <w:szCs w:val="21"/>
              </w:rPr>
              <w:t>1969.04</w:t>
            </w:r>
          </w:p>
        </w:tc>
        <w:tc>
          <w:tcPr>
            <w:tcW w:w="1985"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10</w:t>
            </w:r>
          </w:p>
        </w:tc>
        <w:tc>
          <w:tcPr>
            <w:tcW w:w="1984"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3（2013-2016）</w:t>
            </w:r>
          </w:p>
        </w:tc>
        <w:tc>
          <w:tcPr>
            <w:tcW w:w="1566" w:type="dxa"/>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校级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758" w:type="dxa"/>
            <w:vAlign w:val="center"/>
          </w:tcPr>
          <w:p>
            <w:pPr>
              <w:jc w:val="center"/>
              <w:rPr>
                <w:rFonts w:ascii="仿宋_GB2312" w:hAnsi="Calibri" w:eastAsia="仿宋_GB2312" w:cs="黑体"/>
                <w:color w:val="000000" w:themeColor="text1"/>
                <w:sz w:val="24"/>
                <w:szCs w:val="32"/>
              </w:rPr>
            </w:pPr>
            <w:r>
              <w:rPr>
                <w:rFonts w:hint="eastAsia" w:ascii="仿宋_GB2312" w:hAnsi="Calibri" w:eastAsia="仿宋_GB2312" w:cs="黑体"/>
                <w:color w:val="000000" w:themeColor="text1"/>
                <w:sz w:val="24"/>
                <w:szCs w:val="32"/>
              </w:rPr>
              <w:t>3</w:t>
            </w:r>
          </w:p>
        </w:tc>
        <w:tc>
          <w:tcPr>
            <w:tcW w:w="2513" w:type="dxa"/>
            <w:vAlign w:val="center"/>
          </w:tcPr>
          <w:p>
            <w:pPr>
              <w:jc w:val="center"/>
              <w:rPr>
                <w:rFonts w:ascii="仿宋_GB2312" w:hAnsi="Calibri" w:eastAsia="仿宋_GB2312" w:cs="黑体"/>
                <w:color w:val="000000" w:themeColor="text1"/>
                <w:sz w:val="24"/>
                <w:szCs w:val="32"/>
              </w:rPr>
            </w:pPr>
          </w:p>
        </w:tc>
        <w:tc>
          <w:tcPr>
            <w:tcW w:w="2552" w:type="dxa"/>
            <w:vAlign w:val="center"/>
          </w:tcPr>
          <w:p>
            <w:pPr>
              <w:jc w:val="center"/>
              <w:rPr>
                <w:rFonts w:ascii="仿宋_GB2312" w:hAnsi="Calibri" w:eastAsia="仿宋_GB2312" w:cs="黑体"/>
                <w:color w:val="000000" w:themeColor="text1"/>
                <w:sz w:val="24"/>
                <w:szCs w:val="32"/>
              </w:rPr>
            </w:pPr>
          </w:p>
        </w:tc>
        <w:tc>
          <w:tcPr>
            <w:tcW w:w="1984" w:type="dxa"/>
            <w:vAlign w:val="center"/>
          </w:tcPr>
          <w:p>
            <w:pPr>
              <w:jc w:val="center"/>
              <w:rPr>
                <w:rFonts w:ascii="仿宋_GB2312" w:hAnsi="Calibri" w:eastAsia="仿宋_GB2312" w:cs="黑体"/>
                <w:color w:val="000000" w:themeColor="text1"/>
                <w:sz w:val="24"/>
                <w:szCs w:val="32"/>
              </w:rPr>
            </w:pPr>
          </w:p>
        </w:tc>
        <w:tc>
          <w:tcPr>
            <w:tcW w:w="1701" w:type="dxa"/>
            <w:vAlign w:val="center"/>
          </w:tcPr>
          <w:p>
            <w:pPr>
              <w:jc w:val="center"/>
              <w:rPr>
                <w:rFonts w:ascii="仿宋_GB2312" w:hAnsi="Calibri" w:eastAsia="仿宋_GB2312" w:cs="黑体"/>
                <w:color w:val="000000" w:themeColor="text1"/>
                <w:sz w:val="24"/>
                <w:szCs w:val="32"/>
              </w:rPr>
            </w:pPr>
          </w:p>
        </w:tc>
        <w:tc>
          <w:tcPr>
            <w:tcW w:w="1985" w:type="dxa"/>
            <w:vAlign w:val="center"/>
          </w:tcPr>
          <w:p>
            <w:pPr>
              <w:jc w:val="center"/>
              <w:rPr>
                <w:rFonts w:ascii="仿宋_GB2312" w:hAnsi="Calibri" w:eastAsia="仿宋_GB2312" w:cs="黑体"/>
                <w:color w:val="000000" w:themeColor="text1"/>
                <w:sz w:val="24"/>
                <w:szCs w:val="32"/>
              </w:rPr>
            </w:pPr>
          </w:p>
        </w:tc>
        <w:tc>
          <w:tcPr>
            <w:tcW w:w="1984" w:type="dxa"/>
            <w:vAlign w:val="center"/>
          </w:tcPr>
          <w:p>
            <w:pPr>
              <w:jc w:val="center"/>
              <w:rPr>
                <w:rFonts w:ascii="仿宋_GB2312" w:hAnsi="Calibri" w:eastAsia="仿宋_GB2312" w:cs="黑体"/>
                <w:color w:val="000000" w:themeColor="text1"/>
                <w:sz w:val="24"/>
                <w:szCs w:val="32"/>
              </w:rPr>
            </w:pPr>
          </w:p>
        </w:tc>
        <w:tc>
          <w:tcPr>
            <w:tcW w:w="1566" w:type="dxa"/>
          </w:tcPr>
          <w:p>
            <w:pPr>
              <w:jc w:val="center"/>
              <w:rPr>
                <w:rFonts w:ascii="仿宋_GB2312" w:hAnsi="Calibri" w:eastAsia="仿宋_GB2312" w:cs="黑体"/>
                <w:color w:val="000000" w:themeColor="text1"/>
                <w:sz w:val="24"/>
                <w:szCs w:val="32"/>
              </w:rPr>
            </w:pPr>
          </w:p>
        </w:tc>
      </w:tr>
    </w:tbl>
    <w:p>
      <w:pPr>
        <w:spacing w:line="360" w:lineRule="exact"/>
        <w:rPr>
          <w:rFonts w:ascii="仿宋_GB2312" w:hAnsi="Calibri" w:eastAsia="仿宋_GB2312" w:cs="黑体"/>
          <w:bCs/>
          <w:color w:val="000000" w:themeColor="text1"/>
          <w:sz w:val="32"/>
          <w:szCs w:val="32"/>
        </w:rPr>
      </w:pPr>
      <w:r>
        <w:rPr>
          <w:rFonts w:hint="eastAsia" w:ascii="仿宋_GB2312" w:hAnsi="Calibri" w:eastAsia="仿宋_GB2312" w:cs="黑体"/>
          <w:color w:val="000000" w:themeColor="text1"/>
          <w:sz w:val="32"/>
          <w:szCs w:val="32"/>
        </w:rPr>
        <w:t>说明：1.本表填写2018年7月1日</w:t>
      </w:r>
      <w:r>
        <w:rPr>
          <w:rFonts w:hint="eastAsia" w:ascii="仿宋_GB2312" w:hAnsi="Calibri" w:eastAsia="仿宋_GB2312" w:cs="黑体"/>
          <w:bCs/>
          <w:color w:val="000000" w:themeColor="text1"/>
          <w:sz w:val="32"/>
          <w:szCs w:val="32"/>
        </w:rPr>
        <w:t>前获批的“团队”；“团队类别”栏中填写国家级、省部级“创新群体、创新团队、教学团队”；</w:t>
      </w:r>
    </w:p>
    <w:p>
      <w:pPr>
        <w:spacing w:line="360" w:lineRule="exact"/>
        <w:ind w:firstLine="960" w:firstLineChars="300"/>
        <w:rPr>
          <w:rFonts w:ascii="仿宋_GB2312" w:hAnsi="Calibri" w:eastAsia="仿宋_GB2312" w:cs="黑体"/>
          <w:bCs/>
          <w:color w:val="000000" w:themeColor="text1"/>
          <w:sz w:val="32"/>
          <w:szCs w:val="32"/>
        </w:rPr>
      </w:pPr>
      <w:r>
        <w:rPr>
          <w:rFonts w:hint="eastAsia" w:ascii="仿宋_GB2312" w:hAnsi="Calibri" w:eastAsia="仿宋_GB2312" w:cs="黑体"/>
          <w:bCs/>
          <w:color w:val="000000" w:themeColor="text1"/>
          <w:sz w:val="32"/>
          <w:szCs w:val="32"/>
        </w:rPr>
        <w:t>2.本表填写的所有团队需提供证书或批文的扫描件。</w:t>
      </w:r>
    </w:p>
    <w:tbl>
      <w:tblPr>
        <w:tblStyle w:val="30"/>
        <w:tblW w:w="15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158"/>
        <w:gridCol w:w="1134"/>
        <w:gridCol w:w="708"/>
        <w:gridCol w:w="993"/>
        <w:gridCol w:w="1134"/>
        <w:gridCol w:w="850"/>
        <w:gridCol w:w="2784"/>
        <w:gridCol w:w="2078"/>
        <w:gridCol w:w="1252"/>
        <w:gridCol w:w="1115"/>
        <w:gridCol w:w="1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5040" w:type="dxa"/>
            <w:gridSpan w:val="12"/>
            <w:tcBorders>
              <w:top w:val="single" w:color="auto" w:sz="12" w:space="0"/>
              <w:bottom w:val="single" w:color="auto" w:sz="12" w:space="0"/>
            </w:tcBorders>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I-3专职教师与团队学术成果及参会代表情况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5040" w:type="dxa"/>
            <w:gridSpan w:val="12"/>
            <w:tcBorders>
              <w:top w:val="single" w:color="auto" w:sz="12" w:space="0"/>
              <w:bottom w:val="single" w:color="auto" w:sz="12" w:space="0"/>
            </w:tcBorders>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I-3-1专职教师代表性学术成果（最多填写50项代表性学术成果：含论文、著作，不含教材）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序号</w:t>
            </w:r>
          </w:p>
        </w:tc>
        <w:tc>
          <w:tcPr>
            <w:tcW w:w="115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教师姓名</w:t>
            </w:r>
          </w:p>
        </w:tc>
        <w:tc>
          <w:tcPr>
            <w:tcW w:w="113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出生年月</w:t>
            </w:r>
          </w:p>
        </w:tc>
        <w:tc>
          <w:tcPr>
            <w:tcW w:w="708" w:type="dxa"/>
            <w:tcBorders>
              <w:top w:val="single" w:color="auto" w:sz="12" w:space="0"/>
            </w:tcBorders>
            <w:vAlign w:val="center"/>
          </w:tcPr>
          <w:p>
            <w:pPr>
              <w:tabs>
                <w:tab w:val="left" w:pos="975"/>
              </w:tabs>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性别</w:t>
            </w:r>
          </w:p>
        </w:tc>
        <w:tc>
          <w:tcPr>
            <w:tcW w:w="993"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职称</w:t>
            </w:r>
          </w:p>
        </w:tc>
        <w:tc>
          <w:tcPr>
            <w:tcW w:w="113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导师类别</w:t>
            </w:r>
          </w:p>
        </w:tc>
        <w:tc>
          <w:tcPr>
            <w:tcW w:w="850"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学位</w:t>
            </w:r>
          </w:p>
        </w:tc>
        <w:tc>
          <w:tcPr>
            <w:tcW w:w="2784" w:type="dxa"/>
            <w:tcBorders>
              <w:top w:val="single" w:color="auto" w:sz="12" w:space="0"/>
            </w:tcBorders>
            <w:vAlign w:val="center"/>
          </w:tcPr>
          <w:p>
            <w:pPr>
              <w:adjustRightInd w:val="0"/>
              <w:snapToGrid w:val="0"/>
              <w:jc w:val="center"/>
              <w:textAlignment w:val="baseline"/>
              <w:rPr>
                <w:rFonts w:ascii="仿宋_GB2312" w:hAnsi="Times New Roman" w:eastAsia="仿宋_GB2312" w:cs="Times New Roman"/>
                <w:b/>
                <w:color w:val="000000" w:themeColor="text1"/>
                <w:sz w:val="24"/>
                <w:szCs w:val="32"/>
              </w:rPr>
            </w:pPr>
            <w:r>
              <w:rPr>
                <w:rFonts w:hint="eastAsia" w:ascii="仿宋_GB2312" w:hAnsi="Calibri" w:eastAsia="仿宋_GB2312" w:cs="黑体"/>
                <w:b/>
                <w:color w:val="000000" w:themeColor="text1"/>
                <w:sz w:val="24"/>
                <w:szCs w:val="32"/>
              </w:rPr>
              <w:t>成果题目或著作名称</w:t>
            </w:r>
          </w:p>
        </w:tc>
        <w:tc>
          <w:tcPr>
            <w:tcW w:w="207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发表刊物</w:t>
            </w:r>
          </w:p>
        </w:tc>
        <w:tc>
          <w:tcPr>
            <w:tcW w:w="1252"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级别</w:t>
            </w:r>
          </w:p>
        </w:tc>
        <w:tc>
          <w:tcPr>
            <w:tcW w:w="1115"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发表时间</w:t>
            </w:r>
          </w:p>
        </w:tc>
        <w:tc>
          <w:tcPr>
            <w:tcW w:w="1140"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1</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王建华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1956.6</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政务新媒体话语应用与传播研究</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上海交通大学出版社</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2017年2月</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2</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王建华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1956.6</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微观杭州</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商务印书馆</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2016年8月</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3</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王建华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1956.6</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构建中国语用学的三个基本问题</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励耘语言学刊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2014年第1期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4</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王建华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1956.6</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语用学分析:政务新媒体研究的一种路径</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语言文字应用</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核心</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2018年第1期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5</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基于过程的汉语事态表达研究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中国社会科学出版社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2016年8月</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6</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事件过程结构及其动态特征</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语言学论丛</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2014年（第49辑）</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7</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“过”的时体义与经历事态标记功能</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华文教学与研究</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2015年第2期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8</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汉语动词的事态结构</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国际汉语学报</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2015年第1期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9</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叶晗</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1967.2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研究员</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世界遗产保护启示录</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浙江工商大学出版社</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2013</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10</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杨同用</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1964.3</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汉语国际教育专业与中文专业课程设置的区别</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汉语应用语言学研究，第2辑，商务印书馆</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2013</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11</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杨同用</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1964.3</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color w:val="000000" w:themeColor="text1"/>
              </w:rPr>
              <w:t>汉语国际教育硕士的师资队伍建设，</w:t>
            </w:r>
            <w:r>
              <w:rPr>
                <w:rFonts w:asciiTheme="minorEastAsia" w:hAnsiTheme="minorEastAsia" w:cstheme="minorEastAsia"/>
                <w:color w:val="000000" w:themeColor="text1"/>
                <w:szCs w:val="21"/>
              </w:rPr>
              <w:t xml:space="preserve"> </w:t>
            </w:r>
          </w:p>
        </w:tc>
        <w:tc>
          <w:tcPr>
            <w:tcW w:w="2078" w:type="dxa"/>
            <w:vAlign w:val="center"/>
          </w:tcPr>
          <w:p>
            <w:pPr>
              <w:jc w:val="center"/>
              <w:rPr>
                <w:rFonts w:asciiTheme="minorEastAsia" w:hAnsiTheme="minorEastAsia" w:cstheme="minorEastAsia"/>
                <w:color w:val="000000" w:themeColor="text1"/>
                <w:szCs w:val="21"/>
              </w:rPr>
            </w:pPr>
            <w:r>
              <w:rPr>
                <w:rFonts w:hint="eastAsia"/>
                <w:color w:val="000000" w:themeColor="text1"/>
              </w:rPr>
              <w:t>国际汉语教育人才培养论丛，第三辑，北京大学出版社</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2012</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12</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严慧仙</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1962.10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多模态视频话语分析对跨文化能力培养的启示</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外语电化教学</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2015.5</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13</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严慧仙</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1962.10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“学区（房）”英译的多维度考量（代表作）</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外语研究</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CSSCI（扩展）</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2015.6</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14</w:t>
            </w:r>
          </w:p>
        </w:tc>
        <w:tc>
          <w:tcPr>
            <w:tcW w:w="1158" w:type="dxa"/>
            <w:vAlign w:val="center"/>
          </w:tcPr>
          <w:p>
            <w:pPr>
              <w:widowControl/>
              <w:ind w:firstLine="210" w:firstLineChars="100"/>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张嵎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1963.01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先秦“君子”意义的流变</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哲学与文化</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一级刊物</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2017年02期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15</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张嵎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1963.01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“哲学”“思想”抑或“文化基质”——先秦诸子的意义指向</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《江海学刊》</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2017年02期</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人大资料复印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16</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张嵎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1963.01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先秦名学发展的两条路向</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哲学研究</w:t>
            </w:r>
          </w:p>
        </w:tc>
        <w:tc>
          <w:tcPr>
            <w:tcW w:w="1252"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权威刊物</w:t>
            </w:r>
          </w:p>
        </w:tc>
        <w:tc>
          <w:tcPr>
            <w:tcW w:w="1115"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2018年第2期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17</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赵卫东</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1970.07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延安文人的宗派主义问题考论</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中国现代文学研究丛刊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2015.03</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人大资料复印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18</w:t>
            </w:r>
          </w:p>
        </w:tc>
        <w:tc>
          <w:tcPr>
            <w:tcW w:w="1158"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胡云晚</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1973.07</w:t>
            </w:r>
          </w:p>
        </w:tc>
        <w:tc>
          <w:tcPr>
            <w:tcW w:w="708"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女</w:t>
            </w:r>
          </w:p>
        </w:tc>
        <w:tc>
          <w:tcPr>
            <w:tcW w:w="993"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rPr>
            </w:pPr>
            <w:r>
              <w:rPr>
                <w:rFonts w:hint="eastAsia" w:asciiTheme="minorEastAsia" w:hAnsiTheme="minorEastAsia" w:cstheme="minorEastAsia"/>
                <w:color w:val="000000" w:themeColor="text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汨罗吊祭类韵文中的楚辞体语气助词“兮”</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南京大学出版社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省级</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2017.09</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周毅</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国画山水画论篇章研究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中国社会科学出版社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2014.5</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周毅</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谐音联想国画与汉语二语谐音教学</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汉语学习</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2016年第6期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21</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周毅</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社会符号学视野下文人画语篇结构及成因</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浙江学刊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2015年第3期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22</w:t>
            </w:r>
          </w:p>
        </w:tc>
        <w:tc>
          <w:tcPr>
            <w:tcW w:w="115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周毅</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1965.07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国际传播背景下的艺术类院校汉语国际教育课程设置刍议</w:t>
            </w:r>
            <w:r>
              <w:rPr>
                <w:rStyle w:val="52"/>
                <w:rFonts w:hint="eastAsia" w:asciiTheme="minorEastAsia" w:hAnsiTheme="minorEastAsia" w:cstheme="minorEastAsia"/>
                <w:color w:val="000000" w:themeColor="text1"/>
                <w:szCs w:val="21"/>
              </w:rPr>
              <w:t xml:space="preserve"> </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 xml:space="preserve"> 浙江传媒学院学报</w:t>
            </w:r>
          </w:p>
        </w:tc>
        <w:tc>
          <w:tcPr>
            <w:tcW w:w="1252" w:type="dxa"/>
            <w:vAlign w:val="center"/>
          </w:tcPr>
          <w:p>
            <w:pPr>
              <w:jc w:val="center"/>
              <w:rPr>
                <w:rFonts w:asciiTheme="minorEastAsia" w:hAnsiTheme="minorEastAsia" w:cstheme="minorEastAsia"/>
                <w:color w:val="000000" w:themeColor="text1"/>
                <w:kern w:val="0"/>
                <w:szCs w:val="21"/>
              </w:rPr>
            </w:pPr>
          </w:p>
        </w:tc>
        <w:tc>
          <w:tcPr>
            <w:tcW w:w="1115" w:type="dxa"/>
            <w:vAlign w:val="center"/>
          </w:tcPr>
          <w:p>
            <w:pPr>
              <w:jc w:val="center"/>
              <w:rPr>
                <w:rFonts w:asciiTheme="minorEastAsia" w:hAnsiTheme="minorEastAsia" w:cstheme="minorEastAsia"/>
                <w:color w:val="000000" w:themeColor="text1"/>
                <w:kern w:val="0"/>
                <w:szCs w:val="21"/>
              </w:rPr>
            </w:pPr>
            <w:r>
              <w:rPr>
                <w:rStyle w:val="52"/>
                <w:rFonts w:hint="eastAsia" w:asciiTheme="minorEastAsia" w:hAnsiTheme="minorEastAsia" w:cstheme="minorEastAsia"/>
                <w:color w:val="000000" w:themeColor="text1"/>
                <w:szCs w:val="21"/>
              </w:rPr>
              <w:t>2015</w:t>
            </w:r>
            <w:r>
              <w:rPr>
                <w:rFonts w:hint="eastAsia" w:asciiTheme="minorEastAsia" w:hAnsiTheme="minorEastAsia" w:cstheme="minorEastAsia"/>
                <w:color w:val="000000" w:themeColor="text1"/>
                <w:szCs w:val="21"/>
              </w:rPr>
              <w:t>年第4期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23</w:t>
            </w:r>
          </w:p>
        </w:tc>
        <w:tc>
          <w:tcPr>
            <w:tcW w:w="1158" w:type="dxa"/>
            <w:vAlign w:val="center"/>
          </w:tcPr>
          <w:p>
            <w:pPr>
              <w:widowControl/>
              <w:ind w:firstLine="110" w:firstLineChars="50"/>
              <w:jc w:val="center"/>
              <w:textAlignment w:val="center"/>
              <w:rPr>
                <w:rFonts w:asciiTheme="minorEastAsia" w:hAnsiTheme="minorEastAsia" w:cstheme="minorEastAsia"/>
                <w:color w:val="000000" w:themeColor="text1"/>
                <w:szCs w:val="21"/>
              </w:rPr>
            </w:pPr>
            <w:r>
              <w:rPr>
                <w:rFonts w:hint="eastAsia" w:ascii="宋体" w:hAnsi="宋体" w:cs="宋体"/>
                <w:color w:val="000000" w:themeColor="text1"/>
                <w:kern w:val="0"/>
                <w:sz w:val="22"/>
              </w:rPr>
              <w:t>陶绍清</w:t>
            </w:r>
          </w:p>
        </w:tc>
        <w:tc>
          <w:tcPr>
            <w:tcW w:w="1134" w:type="dxa"/>
            <w:vAlign w:val="center"/>
          </w:tcPr>
          <w:p>
            <w:pPr>
              <w:jc w:val="center"/>
              <w:rPr>
                <w:rFonts w:asciiTheme="minorEastAsia" w:hAnsiTheme="minorEastAsia" w:cstheme="minorEastAsia"/>
                <w:color w:val="000000" w:themeColor="text1"/>
                <w:szCs w:val="21"/>
              </w:rPr>
            </w:pPr>
            <w:r>
              <w:rPr>
                <w:rFonts w:hint="eastAsia" w:ascii="宋体" w:hAnsi="宋体"/>
                <w:color w:val="000000" w:themeColor="text1"/>
                <w:szCs w:val="21"/>
              </w:rPr>
              <w:t>1971.10</w:t>
            </w:r>
          </w:p>
        </w:tc>
        <w:tc>
          <w:tcPr>
            <w:tcW w:w="708"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 w:val="18"/>
                <w:szCs w:val="18"/>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宋体" w:hAnsi="宋体" w:cs="宋体"/>
                <w:color w:val="000000" w:themeColor="text1"/>
                <w:kern w:val="0"/>
                <w:sz w:val="22"/>
              </w:rPr>
              <w:t>浙江科举文化史</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宋体" w:hAnsi="宋体" w:cs="宋体"/>
                <w:color w:val="000000" w:themeColor="text1"/>
                <w:kern w:val="0"/>
                <w:sz w:val="22"/>
              </w:rPr>
              <w:t>浙江大学出版社</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宋体" w:hAnsi="宋体"/>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kern w:val="0"/>
                <w:sz w:val="22"/>
              </w:rPr>
              <w:t>2017年6月版</w:t>
            </w:r>
          </w:p>
        </w:tc>
        <w:tc>
          <w:tcPr>
            <w:tcW w:w="1140" w:type="dxa"/>
            <w:vAlign w:val="center"/>
          </w:tcPr>
          <w:p>
            <w:pPr>
              <w:jc w:val="center"/>
              <w:rPr>
                <w:rFonts w:asciiTheme="minorEastAsia" w:hAnsiTheme="minorEastAsia" w:cstheme="minorEastAsia"/>
                <w:color w:val="000000" w:themeColor="text1"/>
                <w:szCs w:val="21"/>
              </w:rPr>
            </w:pPr>
            <w:r>
              <w:rPr>
                <w:rFonts w:hint="eastAsia" w:ascii="宋体" w:hAnsi="宋体" w:cs="宋体"/>
                <w:color w:val="000000" w:themeColor="text1"/>
                <w:sz w:val="18"/>
                <w:szCs w:val="18"/>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24</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朱吉梅</w:t>
            </w:r>
          </w:p>
        </w:tc>
        <w:tc>
          <w:tcPr>
            <w:tcW w:w="1134" w:type="dxa"/>
          </w:tcPr>
          <w:p>
            <w:pP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英国大学预科英语培训课程与教学特点</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中国大学教学</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CSSCI扩展</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2015.06</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25</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朱吉梅</w:t>
            </w:r>
          </w:p>
        </w:tc>
        <w:tc>
          <w:tcPr>
            <w:tcW w:w="1134" w:type="dxa"/>
          </w:tcPr>
          <w:p>
            <w:pP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非外语专业本科生国际交流能力的现状与对策</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内蒙古师范大学学报（教育科学版）</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中文核心期刊</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2015.06</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26</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翁震华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1968.05</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欧洲外语能力评价体系及其对中国外语教学的启示</w:t>
            </w:r>
          </w:p>
        </w:tc>
        <w:tc>
          <w:tcPr>
            <w:tcW w:w="2078"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当代教育与文化</w:t>
            </w:r>
          </w:p>
        </w:tc>
        <w:tc>
          <w:tcPr>
            <w:tcW w:w="1252"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CSSCI扩展</w:t>
            </w:r>
          </w:p>
        </w:tc>
        <w:tc>
          <w:tcPr>
            <w:tcW w:w="1115"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2016.05</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27</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翁震华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1968.05</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 xml:space="preserve">教授  </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教育渗透性对高校培养高素质应用型人才的启示</w:t>
            </w:r>
          </w:p>
        </w:tc>
        <w:tc>
          <w:tcPr>
            <w:tcW w:w="2078"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江苏高教</w:t>
            </w:r>
          </w:p>
        </w:tc>
        <w:tc>
          <w:tcPr>
            <w:tcW w:w="1252"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2016.05</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28</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黄建滨</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1955.05</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瓦罗之《华语官话语法》编写原则与编写特点探究</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国际汉语学报</w:t>
            </w:r>
          </w:p>
        </w:tc>
        <w:tc>
          <w:tcPr>
            <w:tcW w:w="1252" w:type="dxa"/>
            <w:vAlign w:val="center"/>
          </w:tcPr>
          <w:p>
            <w:pPr>
              <w:widowControl/>
              <w:jc w:val="center"/>
              <w:textAlignment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2015.2</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29</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黄建滨</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1955.05</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论语言学习中的自我调节</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外语教学</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2015.8</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30</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黄建滨</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1955.05</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学博导师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老舍与早期国外的汉语教学</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国际汉语学报</w:t>
            </w:r>
          </w:p>
        </w:tc>
        <w:tc>
          <w:tcPr>
            <w:tcW w:w="1252" w:type="dxa"/>
            <w:vAlign w:val="center"/>
          </w:tcPr>
          <w:p>
            <w:pPr>
              <w:widowControl/>
              <w:jc w:val="center"/>
              <w:textAlignment w:val="center"/>
              <w:rPr>
                <w:rFonts w:asciiTheme="minorEastAsia" w:hAnsiTheme="minorEastAsia" w:cstheme="minorEastAsia"/>
                <w:color w:val="000000" w:themeColor="text1"/>
                <w:szCs w:val="21"/>
              </w:rPr>
            </w:pPr>
          </w:p>
        </w:tc>
        <w:tc>
          <w:tcPr>
            <w:tcW w:w="1115"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2016.12</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31</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冯少中</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1966.02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中罗分类词典</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罗马尼亚克鲁日大学出版社、浙江教育出版社</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2017年8月</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32</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俞燕君</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1969.12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语言经济学视野下的汉语国际教育</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高教探索</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2017年05期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33</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俞燕君</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1969.12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汉语反身代词的功能与演变研究</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浙江大学出版社</w:t>
            </w:r>
          </w:p>
          <w:p>
            <w:pPr>
              <w:widowControl/>
              <w:jc w:val="center"/>
              <w:textAlignment w:val="center"/>
              <w:rPr>
                <w:rFonts w:asciiTheme="minorEastAsia" w:hAnsiTheme="minorEastAsia" w:cstheme="minorEastAsia"/>
                <w:color w:val="000000" w:themeColor="text1"/>
                <w:kern w:val="0"/>
                <w:szCs w:val="21"/>
              </w:rPr>
            </w:pPr>
          </w:p>
        </w:tc>
        <w:tc>
          <w:tcPr>
            <w:tcW w:w="1252"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一级出版社</w:t>
            </w:r>
          </w:p>
        </w:tc>
        <w:tc>
          <w:tcPr>
            <w:tcW w:w="1115"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2016.04</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34</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俞燕君</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1969.12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写意杭州——留学生学习汉语现代诗歌赏析</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杭州出版社</w:t>
            </w:r>
          </w:p>
        </w:tc>
        <w:tc>
          <w:tcPr>
            <w:tcW w:w="1252" w:type="dxa"/>
            <w:vAlign w:val="center"/>
          </w:tcPr>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2016.04</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35</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俞燕君</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1969.12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韩国人学汉语难点及偏误分析</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浙江大学出版社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2011.05</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36</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俞燕君</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1969.12</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left"/>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中国梦宣传融入留学生汉语教学的研究</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《高教探索》</w:t>
            </w:r>
          </w:p>
        </w:tc>
        <w:tc>
          <w:tcPr>
            <w:tcW w:w="1252" w:type="dxa"/>
            <w:vAlign w:val="center"/>
          </w:tcPr>
          <w:p>
            <w:pPr>
              <w:widowControl/>
              <w:jc w:val="left"/>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CSSCI</w:t>
            </w:r>
          </w:p>
        </w:tc>
        <w:tc>
          <w:tcPr>
            <w:tcW w:w="1115"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2016.04</w:t>
            </w:r>
          </w:p>
        </w:tc>
        <w:tc>
          <w:tcPr>
            <w:tcW w:w="1140" w:type="dxa"/>
            <w:vAlign w:val="center"/>
          </w:tcPr>
          <w:p>
            <w:pPr>
              <w:widowControl/>
              <w:jc w:val="left"/>
              <w:textAlignment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37</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陈亚轩</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1969.04</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硕士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多语主义与人口较少民族文化传承中的语言教育</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贵州民族研究</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核心，CSSCI收录</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2015年第四期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38</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张琴</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1976.01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胡宏“知言”哲学研究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浙江大学出版社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2017.12</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39</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夏利亚</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1976.08</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睡虎地秦简集释</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上海交通大学出版社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2016年6月</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40</w:t>
            </w:r>
          </w:p>
        </w:tc>
        <w:tc>
          <w:tcPr>
            <w:tcW w:w="115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李正爱</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1978.11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江南都市文化与美学研究</w:t>
            </w:r>
          </w:p>
        </w:tc>
        <w:tc>
          <w:tcPr>
            <w:tcW w:w="207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浙江大学出版社</w:t>
            </w:r>
          </w:p>
          <w:p>
            <w:pPr>
              <w:widowControl/>
              <w:jc w:val="center"/>
              <w:textAlignment w:val="center"/>
              <w:rPr>
                <w:rFonts w:asciiTheme="minorEastAsia" w:hAnsiTheme="minorEastAsia" w:cstheme="minorEastAsia"/>
                <w:color w:val="000000" w:themeColor="text1"/>
                <w:kern w:val="0"/>
                <w:szCs w:val="21"/>
              </w:rPr>
            </w:pPr>
          </w:p>
        </w:tc>
        <w:tc>
          <w:tcPr>
            <w:tcW w:w="1252"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一级出版社</w:t>
            </w:r>
          </w:p>
          <w:p>
            <w:pPr>
              <w:widowControl/>
              <w:jc w:val="center"/>
              <w:textAlignment w:val="center"/>
              <w:rPr>
                <w:rFonts w:asciiTheme="minorEastAsia" w:hAnsiTheme="minorEastAsia" w:cstheme="minorEastAsia"/>
                <w:color w:val="000000" w:themeColor="text1"/>
                <w:kern w:val="0"/>
                <w:szCs w:val="21"/>
              </w:rPr>
            </w:pPr>
          </w:p>
        </w:tc>
        <w:tc>
          <w:tcPr>
            <w:tcW w:w="1115"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2015.06</w:t>
            </w:r>
          </w:p>
          <w:p>
            <w:pPr>
              <w:widowControl/>
              <w:jc w:val="center"/>
              <w:textAlignment w:val="center"/>
              <w:rPr>
                <w:rFonts w:asciiTheme="minorEastAsia" w:hAnsiTheme="minorEastAsia" w:cstheme="minorEastAsia"/>
                <w:color w:val="000000" w:themeColor="text1"/>
                <w:kern w:val="0"/>
                <w:szCs w:val="21"/>
              </w:rPr>
            </w:pP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41</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凌喆</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1979.01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人文精神与文化浙江</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浙江社会科学</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核心</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2015.01</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42</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赵学德</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1980.6</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副教授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认知视角下人体词的语义转移研究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国防工业出版社</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一级出版社</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43</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赵翠阳</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1977.10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fldChar w:fldCharType="begin"/>
            </w:r>
            <w:r>
              <w:instrText xml:space="preserve"> HYPERLINK "http://xueshu.baidu.com/s?wd=paperuri%3A%28f6679d52959dea5ad2cbd18fac0ac78c%29&amp;filter=sc_long_sign&amp;tn=SE_xueshusource_2kduw22v&amp;sc_vurl=http%3A%2F%2Fwww.cqvip.com%2FQK%2F80549X%2F201703%2F673073906.html&amp;ie=utf-8&amp;sc_us=1250929874714011638" \t "_blank" </w:instrText>
            </w:r>
            <w:r>
              <w:fldChar w:fldCharType="separate"/>
            </w:r>
            <w:r>
              <w:rPr>
                <w:rFonts w:hint="eastAsia" w:asciiTheme="minorEastAsia" w:hAnsiTheme="minorEastAsia" w:cstheme="minorEastAsia"/>
                <w:color w:val="000000" w:themeColor="text1"/>
                <w:szCs w:val="21"/>
              </w:rPr>
              <w:t>异形词社会使用调查与研究——以《现代汉语词典》五、六两版整理规范为例</w:t>
            </w:r>
            <w:r>
              <w:rPr>
                <w:rFonts w:hint="eastAsia" w:asciiTheme="minorEastAsia" w:hAnsiTheme="minorEastAsia" w:cstheme="minorEastAsia"/>
                <w:color w:val="000000" w:themeColor="text1"/>
                <w:szCs w:val="21"/>
              </w:rPr>
              <w:fldChar w:fldCharType="end"/>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语言文字应用</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2017.08</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44</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赵翠阳</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1977.10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“杭州发布”微博的话题考量</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当代修辞学</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2017.02</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45</w:t>
            </w:r>
          </w:p>
        </w:tc>
        <w:tc>
          <w:tcPr>
            <w:tcW w:w="115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秦少康/李华</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1974．11</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基于语用学的多媒体文本效能评价研究</w:t>
            </w:r>
          </w:p>
        </w:tc>
        <w:tc>
          <w:tcPr>
            <w:tcW w:w="2078"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当代修辞学</w:t>
            </w:r>
          </w:p>
        </w:tc>
        <w:tc>
          <w:tcPr>
            <w:tcW w:w="1252"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kern w:val="0"/>
                <w:szCs w:val="21"/>
              </w:rPr>
              <w:t>2017年01期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widowControl/>
              <w:jc w:val="center"/>
              <w:textAlignment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46</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施麟麒</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1979.4</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男</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专硕导师</w:t>
            </w: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孟子的话语理解观</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励耘语言学刊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47</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熊雯</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1983.10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地域文化与大冶方言词汇</w:t>
            </w:r>
          </w:p>
          <w:p>
            <w:pPr>
              <w:jc w:val="center"/>
              <w:rPr>
                <w:rFonts w:asciiTheme="minorEastAsia" w:hAnsiTheme="minorEastAsia" w:cstheme="minorEastAsia"/>
                <w:color w:val="000000" w:themeColor="text1"/>
                <w:szCs w:val="21"/>
              </w:rPr>
            </w:pP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华中学术</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2017.2</w:t>
            </w:r>
          </w:p>
          <w:p>
            <w:pPr>
              <w:jc w:val="center"/>
              <w:rPr>
                <w:rFonts w:asciiTheme="minorEastAsia" w:hAnsiTheme="minorEastAsia" w:cstheme="minorEastAsia"/>
                <w:color w:val="000000" w:themeColor="text1"/>
                <w:szCs w:val="21"/>
              </w:rPr>
            </w:pP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48</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熊雯</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1983.10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否定标记与祈使标记共现的句法特征</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澳门语言学刊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港澳期刊</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49</w:t>
            </w:r>
          </w:p>
        </w:tc>
        <w:tc>
          <w:tcPr>
            <w:tcW w:w="115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熊雯</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1983.10</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焦点与否定成分的关联特征研究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华中学术</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CSSCI</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69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50</w:t>
            </w:r>
          </w:p>
        </w:tc>
        <w:tc>
          <w:tcPr>
            <w:tcW w:w="1158" w:type="dxa"/>
            <w:vAlign w:val="center"/>
          </w:tcPr>
          <w:p>
            <w:pPr>
              <w:widowControl/>
              <w:jc w:val="center"/>
              <w:textAlignment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kern w:val="0"/>
                <w:szCs w:val="21"/>
              </w:rPr>
              <w:t>王誉俊</w:t>
            </w:r>
          </w:p>
        </w:tc>
        <w:tc>
          <w:tcPr>
            <w:tcW w:w="113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1987.07</w:t>
            </w:r>
          </w:p>
        </w:tc>
        <w:tc>
          <w:tcPr>
            <w:tcW w:w="70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女</w:t>
            </w:r>
          </w:p>
        </w:tc>
        <w:tc>
          <w:tcPr>
            <w:tcW w:w="993"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讲师</w:t>
            </w:r>
          </w:p>
        </w:tc>
        <w:tc>
          <w:tcPr>
            <w:tcW w:w="1134" w:type="dxa"/>
            <w:vAlign w:val="center"/>
          </w:tcPr>
          <w:p>
            <w:pPr>
              <w:jc w:val="center"/>
              <w:rPr>
                <w:rFonts w:asciiTheme="minorEastAsia" w:hAnsiTheme="minorEastAsia" w:cstheme="minorEastAsia"/>
                <w:color w:val="000000" w:themeColor="text1"/>
                <w:szCs w:val="21"/>
              </w:rPr>
            </w:pPr>
          </w:p>
        </w:tc>
        <w:tc>
          <w:tcPr>
            <w:tcW w:w="85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博士</w:t>
            </w:r>
          </w:p>
        </w:tc>
        <w:tc>
          <w:tcPr>
            <w:tcW w:w="2784"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How to decrease violence against doctors in China?</w:t>
            </w:r>
          </w:p>
        </w:tc>
        <w:tc>
          <w:tcPr>
            <w:tcW w:w="2078"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International Journal of Cardiology</w:t>
            </w:r>
          </w:p>
        </w:tc>
        <w:tc>
          <w:tcPr>
            <w:tcW w:w="1252"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SCI</w:t>
            </w:r>
          </w:p>
        </w:tc>
        <w:tc>
          <w:tcPr>
            <w:tcW w:w="1115" w:type="dxa"/>
            <w:vAlign w:val="center"/>
          </w:tcPr>
          <w:p>
            <w:pPr>
              <w:jc w:val="center"/>
              <w:rPr>
                <w:rFonts w:asciiTheme="minorEastAsia" w:hAnsiTheme="minorEastAsia" w:cstheme="minorEastAsia"/>
                <w:color w:val="000000" w:themeColor="text1"/>
                <w:kern w:val="0"/>
                <w:szCs w:val="21"/>
              </w:rPr>
            </w:pPr>
            <w:r>
              <w:rPr>
                <w:rFonts w:hint="eastAsia" w:asciiTheme="minorEastAsia" w:hAnsiTheme="minorEastAsia" w:cstheme="minorEastAsia"/>
                <w:color w:val="000000" w:themeColor="text1"/>
                <w:szCs w:val="21"/>
              </w:rPr>
              <w:t>2016年，总第211期</w:t>
            </w:r>
          </w:p>
        </w:tc>
        <w:tc>
          <w:tcPr>
            <w:tcW w:w="1140" w:type="dxa"/>
            <w:vAlign w:val="center"/>
          </w:tcPr>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5040" w:type="dxa"/>
            <w:gridSpan w:val="12"/>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I-3-2 专职教师参会代表情况（不超过50人次）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852" w:type="dxa"/>
            <w:gridSpan w:val="2"/>
            <w:vAlign w:val="center"/>
          </w:tcPr>
          <w:p>
            <w:pP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教师姓名</w:t>
            </w:r>
          </w:p>
        </w:tc>
        <w:tc>
          <w:tcPr>
            <w:tcW w:w="4819" w:type="dxa"/>
            <w:gridSpan w:val="5"/>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会议名称</w:t>
            </w:r>
          </w:p>
        </w:tc>
        <w:tc>
          <w:tcPr>
            <w:tcW w:w="2784" w:type="dxa"/>
            <w:vAlign w:val="center"/>
          </w:tcPr>
          <w:p>
            <w:pPr>
              <w:adjustRightInd w:val="0"/>
              <w:snapToGrid w:val="0"/>
              <w:jc w:val="center"/>
              <w:textAlignment w:val="baseline"/>
              <w:rPr>
                <w:rFonts w:ascii="仿宋_GB2312" w:hAnsi="Times New Roman" w:eastAsia="仿宋_GB2312" w:cs="Times New Roman"/>
                <w:b/>
                <w:color w:val="000000" w:themeColor="text1"/>
                <w:sz w:val="24"/>
                <w:szCs w:val="32"/>
              </w:rPr>
            </w:pPr>
            <w:r>
              <w:rPr>
                <w:rFonts w:hint="eastAsia" w:ascii="仿宋_GB2312" w:hAnsi="Times New Roman" w:eastAsia="仿宋_GB2312" w:cs="Times New Roman"/>
                <w:b/>
                <w:color w:val="000000" w:themeColor="text1"/>
                <w:kern w:val="0"/>
                <w:sz w:val="24"/>
                <w:szCs w:val="32"/>
              </w:rPr>
              <w:t>汇报论文名称</w:t>
            </w:r>
          </w:p>
        </w:tc>
        <w:tc>
          <w:tcPr>
            <w:tcW w:w="2078" w:type="dxa"/>
            <w:vAlign w:val="center"/>
          </w:tcPr>
          <w:p>
            <w:pPr>
              <w:jc w:val="center"/>
              <w:rPr>
                <w:rFonts w:ascii="仿宋_GB2312" w:hAnsi="Calibri" w:eastAsia="仿宋_GB2312" w:cs="黑体"/>
                <w:b/>
                <w:color w:val="000000" w:themeColor="text1"/>
                <w:sz w:val="24"/>
                <w:szCs w:val="32"/>
              </w:rPr>
            </w:pPr>
            <w:r>
              <w:rPr>
                <w:rFonts w:hint="eastAsia" w:ascii="仿宋_GB2312" w:hAnsi="Times New Roman" w:eastAsia="仿宋_GB2312" w:cs="Times New Roman"/>
                <w:b/>
                <w:color w:val="000000" w:themeColor="text1"/>
                <w:kern w:val="0"/>
                <w:sz w:val="24"/>
                <w:szCs w:val="32"/>
              </w:rPr>
              <w:t>大会报告/分组报告</w:t>
            </w:r>
          </w:p>
        </w:tc>
        <w:tc>
          <w:tcPr>
            <w:tcW w:w="1252"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主办机构</w:t>
            </w:r>
          </w:p>
        </w:tc>
        <w:tc>
          <w:tcPr>
            <w:tcW w:w="1115"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地点</w:t>
            </w:r>
          </w:p>
        </w:tc>
        <w:tc>
          <w:tcPr>
            <w:tcW w:w="1140" w:type="dxa"/>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2016年普林斯顿大学对外汉语教学研讨会</w:t>
            </w:r>
          </w:p>
          <w:p>
            <w:pPr>
              <w:jc w:val="center"/>
              <w:rPr>
                <w:rFonts w:asciiTheme="minorEastAsia" w:hAnsiTheme="minorEastAsia" w:cstheme="minorEastAsia"/>
                <w:color w:val="000000" w:themeColor="text1"/>
                <w:szCs w:val="21"/>
              </w:rPr>
            </w:pP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对外汉语教材编写中的相关问题</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美国普林斯顿大学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美国：美国普林斯顿大学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国家语委"十三五科研规划座谈会暨2015年度重大科研项目选题会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“政务新媒体语言应用与政府效能”选题</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会议发言</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国家语委语信司</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杭州：浙江科技学院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第一届政务新媒体语言应用与政府效能高峰论坛</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政务新媒体研究与语言应用</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大会召集人</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浙江省政务新媒体研究院</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杭州：浙江科技学院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第二届周有光语言文字学学术研讨会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周有光语文现代化思想面面观</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上海外国语大学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复旦大学第七届望道修辞学论坛</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杭州发布政务微博的话题设置与分析</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复旦大学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上海：复旦大学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国家语委2017年度重大科研项目选题会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浙江省语委重大重点选题若干</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大会发言</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国家语委语信司</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广州：广州大学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第三届周有光语言文字学学术研讨会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政务新媒体语言应用的语用学分析</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常州：常州理工学院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黔浙语言学论坛暨贵州省语言学会第十八届年会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政务新媒体语言应用研究特征</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贵州省语言学会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毕节：贵州工程应用技术学院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第十届全国语言文字应用学术研讨会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政务新媒体语言应用的语用学分析</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教育部语用所</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厦门：华侨大学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中国修辞学会2017年度年会暨第一届国家话语生态研究高峰论坛</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政务新媒体语言应用的语用学分析</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华东师大</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上海：华东师大</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第九届全国社会语言学学术研讨会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政务新媒体语言应用研究特征</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教育部语用所</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武汉：武汉大学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王建华</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国家语委2018年度重大科研项目选题会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“中华传统文化典籍话语转换与智能化传播研究”选题</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大会发言</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国家语委语信司</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北京：教育部语信司</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2018．04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杨同用</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第十一届国际汉语教学研讨会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汉语教师志愿者培训问题研究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世界汉语教学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西安：西安交外国语大学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2012．08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杨同用</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汉语国际教育新形势下的对外汉语教学学科建设国际学术研讨会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汉语国际教育硕士的师资队伍建设</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北京语言大学；重庆大学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重庆：重庆大学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杨同用</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基于多元理论的对外汉语教学模式研究国际学术研讨会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对外汉语教师的教练角色</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北京语言大学；内蒙古师范大学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呼和浩特：内蒙古师范大学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杨同用</w:t>
            </w:r>
          </w:p>
        </w:tc>
        <w:tc>
          <w:tcPr>
            <w:tcW w:w="4819" w:type="dxa"/>
            <w:gridSpan w:val="5"/>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政务新媒体高峰论坛</w:t>
            </w:r>
          </w:p>
        </w:tc>
        <w:tc>
          <w:tcPr>
            <w:tcW w:w="2784"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词的功能与语文词典的词性标注和释义</w:t>
            </w:r>
          </w:p>
        </w:tc>
        <w:tc>
          <w:tcPr>
            <w:tcW w:w="2078"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浙江省政务新媒体研究院</w:t>
            </w:r>
          </w:p>
        </w:tc>
        <w:tc>
          <w:tcPr>
            <w:tcW w:w="1115"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杭州：浙江科技学院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中国语言学会第十七届学术年会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事件过程结构及其动态特征——以“摆”类动词构成的附着事件为例</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小组报告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中国语言学会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北京：北京语言大学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2014年9月13至15日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“汉语词类问题”国际学术研讨会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动词的事态结构研究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小组报告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华中师范大学语言与语言教育研究中心，语言研究所</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武汉：华中师范大学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2014年10月11至12日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第七届现代汉语教学研讨会——暨邵敬敏教授七十华诞庆典</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情态及其表达手段</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小组报告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暨南大学文学院</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广州：暨南大学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2014年11月15至16日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浙黔语言学论坛暨浙江省语言学会第十七届年会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汉语动词的事态结构</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小组报告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浙江省语言学会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宁波：宁波大学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2014年11月22至23日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全国高等院校现代汉语教学研究会第十四届学术年会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汉英事态范畴的类型学差异</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小组报告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全国高等院校现代汉语教学研究会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金华：浙江师范大学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2014年11月29至30日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第12届对外汉语国际学术研讨会（ICCSL-12）——“多元学术视野下的对外汉语教学语法与语法教学研究”国际学术研讨会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面向第二语言教学的汉语体貌标记事态分布研究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北京第二外国语学院</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北京：北京第二外国语学院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2015年10月17-18日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第八届现代汉语语法国际研讨会暨30周年庆典</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“完结”与“起始”——“了”到底表示什么时体义</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现代汉语语法国际研讨会</w:t>
            </w:r>
          </w:p>
        </w:tc>
        <w:tc>
          <w:tcPr>
            <w:tcW w:w="1115" w:type="dxa"/>
            <w:vAlign w:val="center"/>
          </w:tcPr>
          <w:p>
            <w:pPr>
              <w:spacing w:line="300" w:lineRule="auto"/>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杭州：    浙江大学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2015年10月23-26日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第一届国际华文教学研讨会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汉英事态量度的类型学比较</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分组报告，大会小组总结</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华侨大学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厦门：华侨大学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2015年11年11月20至21日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2016年普林斯顿大学对外汉语教学研讨会</w:t>
            </w:r>
          </w:p>
          <w:p>
            <w:pPr>
              <w:jc w:val="center"/>
              <w:rPr>
                <w:rFonts w:asciiTheme="minorEastAsia" w:hAnsiTheme="minorEastAsia" w:cstheme="minorEastAsia"/>
                <w:color w:val="000000" w:themeColor="text1"/>
                <w:szCs w:val="21"/>
              </w:rPr>
            </w:pP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面向第二语言教学的汉语体貌标记事态分布研究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美国普林斯顿大学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美国：美国普林斯顿大学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２０１６年4月29日至30日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第十五届中国认知语言学国际论坛</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动词的过程结构及其动态特征</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pStyle w:val="7"/>
              <w:spacing w:line="360" w:lineRule="auto"/>
              <w:ind w:firstLine="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京航空航天大学</w:t>
            </w:r>
          </w:p>
        </w:tc>
        <w:tc>
          <w:tcPr>
            <w:tcW w:w="1115" w:type="dxa"/>
            <w:vAlign w:val="center"/>
          </w:tcPr>
          <w:p>
            <w:pPr>
              <w:pStyle w:val="7"/>
              <w:spacing w:line="360" w:lineRule="auto"/>
              <w:ind w:firstLine="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北京：北</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京航空航天大学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2016年5月22至28日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浙黔语言学论坛暨浙江省语言学会第18届年会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“完结”与“起始”——“了”到底表示什么时体义</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浙江省语言学会</w:t>
            </w:r>
          </w:p>
        </w:tc>
        <w:tc>
          <w:tcPr>
            <w:tcW w:w="1115" w:type="dxa"/>
            <w:vAlign w:val="center"/>
          </w:tcPr>
          <w:p>
            <w:pPr>
              <w:pStyle w:val="7"/>
              <w:spacing w:line="360" w:lineRule="auto"/>
              <w:ind w:firstLine="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湖州：</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湖州师范学院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2016年10月28-30日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spacing w:line="440" w:lineRule="exact"/>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全国高等学校现代汉语教学研究会第十五届学术研讨会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动词的过程特征及相关句法语义</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全国高等学校现代汉语教学研究会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桂林：广西师范大学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2016年12月9日—12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境外汉语语法学史及数据库建设</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情态：定义、特征与表达手段</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暨南大</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广州：暨南大学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2017年03月17日至20日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第六届国际汉语教学研究生指导研讨会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面向第二语言教学的汉语时体标记事态分布研究</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分组报告，大会小组总结</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上海财经大学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上海：上海财经大学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2017年7月7至9日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税昌锡</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第14届对外汉语国际学术研讨会（多元文化背景下汉语教学理论与方法）</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汉英事态量度的类型学比较</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山东师范大学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济南：山东师范大学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2017年10月13至16日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俞燕君</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语言学与中文教学研讨交流会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《中国语言生活状况报告》的国际传播</w:t>
            </w:r>
          </w:p>
          <w:p>
            <w:pPr>
              <w:jc w:val="center"/>
              <w:rPr>
                <w:rFonts w:asciiTheme="minorEastAsia" w:hAnsiTheme="minorEastAsia" w:cstheme="minorEastAsia"/>
                <w:color w:val="000000" w:themeColor="text1"/>
                <w:szCs w:val="21"/>
              </w:rPr>
            </w:pP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美国加州大学戴维斯分校</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美国加州大学戴维斯分校</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2016.4.16</w:t>
            </w:r>
          </w:p>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俞燕君</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语言文字应用研究中青年学者协</w:t>
            </w:r>
          </w:p>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同创新联盟第二届学术研讨会</w:t>
            </w:r>
          </w:p>
          <w:p>
            <w:pPr>
              <w:jc w:val="center"/>
              <w:rPr>
                <w:rFonts w:asciiTheme="minorEastAsia" w:hAnsiTheme="minorEastAsia" w:cstheme="minorEastAsia"/>
                <w:color w:val="000000" w:themeColor="text1"/>
                <w:szCs w:val="21"/>
              </w:rPr>
            </w:pP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《中国语言生活状况报告》韩文版的启示</w:t>
            </w:r>
          </w:p>
          <w:p>
            <w:pPr>
              <w:jc w:val="center"/>
              <w:rPr>
                <w:rFonts w:asciiTheme="minorEastAsia" w:hAnsiTheme="minorEastAsia" w:cstheme="minorEastAsia"/>
                <w:color w:val="000000" w:themeColor="text1"/>
                <w:szCs w:val="21"/>
              </w:rPr>
            </w:pP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教育部语信司</w:t>
            </w:r>
          </w:p>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烟台：鲁东大学</w:t>
            </w:r>
          </w:p>
          <w:p>
            <w:pPr>
              <w:jc w:val="center"/>
              <w:rPr>
                <w:rFonts w:asciiTheme="minorEastAsia" w:hAnsiTheme="minorEastAsia" w:cstheme="minorEastAsia"/>
                <w:color w:val="000000" w:themeColor="text1"/>
                <w:szCs w:val="21"/>
              </w:rPr>
            </w:pP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2016.4.26</w:t>
            </w:r>
          </w:p>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俞燕君</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第十四届国际汉语教学学术研讨会</w:t>
            </w:r>
          </w:p>
          <w:p>
            <w:pPr>
              <w:jc w:val="center"/>
              <w:rPr>
                <w:rFonts w:asciiTheme="minorEastAsia" w:hAnsiTheme="minorEastAsia" w:cstheme="minorEastAsia"/>
                <w:color w:val="000000" w:themeColor="text1"/>
                <w:szCs w:val="21"/>
              </w:rPr>
            </w:pP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基于翻转课堂的对外汉语口语教学模式研究</w:t>
            </w:r>
          </w:p>
          <w:p>
            <w:pPr>
              <w:jc w:val="center"/>
              <w:rPr>
                <w:rFonts w:asciiTheme="minorEastAsia" w:hAnsiTheme="minorEastAsia" w:cstheme="minorEastAsia"/>
                <w:color w:val="000000" w:themeColor="text1"/>
                <w:szCs w:val="21"/>
              </w:rPr>
            </w:pP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澳门大学</w:t>
            </w:r>
          </w:p>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澳门：澳门大学</w:t>
            </w:r>
          </w:p>
          <w:p>
            <w:pPr>
              <w:jc w:val="center"/>
              <w:rPr>
                <w:rFonts w:asciiTheme="minorEastAsia" w:hAnsiTheme="minorEastAsia" w:cstheme="minorEastAsia"/>
                <w:color w:val="000000" w:themeColor="text1"/>
                <w:szCs w:val="21"/>
              </w:rPr>
            </w:pP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俞燕君</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第十八届浙江省语言学年会暨浙黔语言学论坛</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语言经济学视野下的汉语国际教育</w:t>
            </w:r>
          </w:p>
          <w:p>
            <w:pPr>
              <w:jc w:val="center"/>
              <w:rPr>
                <w:rFonts w:asciiTheme="minorEastAsia" w:hAnsiTheme="minorEastAsia" w:cstheme="minorEastAsia"/>
                <w:color w:val="000000" w:themeColor="text1"/>
                <w:szCs w:val="21"/>
              </w:rPr>
            </w:pP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p>
            <w:pPr>
              <w:jc w:val="center"/>
              <w:rPr>
                <w:rFonts w:asciiTheme="minorEastAsia" w:hAnsiTheme="minorEastAsia" w:cstheme="minorEastAsia"/>
                <w:color w:val="000000" w:themeColor="text1"/>
                <w:szCs w:val="21"/>
              </w:rPr>
            </w:pP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浙江省、贵州省语言学会</w:t>
            </w:r>
          </w:p>
          <w:p>
            <w:pPr>
              <w:jc w:val="center"/>
              <w:rPr>
                <w:rFonts w:asciiTheme="minorEastAsia" w:hAnsiTheme="minorEastAsia" w:cstheme="minorEastAsia"/>
                <w:color w:val="000000" w:themeColor="text1"/>
                <w:szCs w:val="21"/>
              </w:rPr>
            </w:pP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湖州：湖州师范学院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2016.10.28</w:t>
            </w:r>
          </w:p>
          <w:p>
            <w:pPr>
              <w:jc w:val="center"/>
              <w:rPr>
                <w:rFonts w:asciiTheme="minorEastAsia" w:hAnsiTheme="minorEastAsia" w:cstheme="minorEastAsia"/>
                <w:color w:val="000000" w:themeColor="text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严慧仙</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全球化时代的汉语国际教育</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罗德孔子学院建设的问题与对策</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罗马尼亚巴雅依·波什卡大学孔子学院和浙江科技学院应用语言学中心</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罗马尼亚克鲁日巴雅依·波什卡大学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周毅</w:t>
            </w:r>
          </w:p>
        </w:tc>
        <w:tc>
          <w:tcPr>
            <w:tcW w:w="4819" w:type="dxa"/>
            <w:gridSpan w:val="5"/>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全球化时代的汉语国际教育</w:t>
            </w:r>
          </w:p>
        </w:tc>
        <w:tc>
          <w:tcPr>
            <w:tcW w:w="2784"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国画谐音和汉语作为第二语言的教学</w:t>
            </w:r>
          </w:p>
        </w:tc>
        <w:tc>
          <w:tcPr>
            <w:tcW w:w="2078"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罗马尼亚巴雅依·波什卡大学孔子学院和浙江科技学院应用语言学中心</w:t>
            </w:r>
          </w:p>
        </w:tc>
        <w:tc>
          <w:tcPr>
            <w:tcW w:w="1115"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罗马尼亚克鲁日巴雅依·波什卡大学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周毅</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2017年汉语国际教育暨国家形象修辞研讨会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政务网站多模态图像话语的政治功能</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华师大教师研修基地和《华东师范大学学报》编辑部</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上海：华东师范大学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周毅</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2017年浙江省修辞学会年会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文人画语篇的谐音衔接</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大会报告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浙江省修辞学会</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浙江义乌工商职业技术学院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徐理勤</w:t>
            </w:r>
          </w:p>
        </w:tc>
        <w:tc>
          <w:tcPr>
            <w:tcW w:w="4819" w:type="dxa"/>
            <w:gridSpan w:val="5"/>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中德高层次应用型人才培养论坛</w:t>
            </w:r>
          </w:p>
        </w:tc>
        <w:tc>
          <w:tcPr>
            <w:tcW w:w="2784"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基于目标的个性化学习方案的设计——中德合作办学项目中的新元素</w:t>
            </w:r>
          </w:p>
        </w:tc>
        <w:tc>
          <w:tcPr>
            <w:tcW w:w="2078"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德累斯顿应用科学大学</w:t>
            </w:r>
          </w:p>
        </w:tc>
        <w:tc>
          <w:tcPr>
            <w:tcW w:w="1115"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德国：德累斯顿</w:t>
            </w:r>
          </w:p>
        </w:tc>
        <w:tc>
          <w:tcPr>
            <w:tcW w:w="1140" w:type="dxa"/>
            <w:vAlign w:val="center"/>
          </w:tcPr>
          <w:p>
            <w:pPr>
              <w:jc w:val="center"/>
              <w:rPr>
                <w:rFonts w:asciiTheme="minorEastAsia" w:hAnsiTheme="minorEastAsia" w:cstheme="minorEastAsia"/>
                <w:color w:val="000000" w:themeColor="text1"/>
                <w:szCs w:val="21"/>
              </w:rPr>
            </w:pPr>
            <w:r>
              <w:rPr>
                <w:rFonts w:asciiTheme="minorEastAsia" w:hAnsiTheme="minorEastAsia" w:cstheme="minorEastAsia"/>
                <w:color w:val="000000" w:themeColor="text1"/>
                <w:szCs w:val="21"/>
              </w:rPr>
              <w:t>2016</w:t>
            </w:r>
            <w:r>
              <w:rPr>
                <w:rFonts w:hint="eastAsia" w:ascii="Arial" w:hAnsi="Arial" w:cs="Arial"/>
                <w:color w:val="000000" w:themeColor="text1"/>
                <w:sz w:val="13"/>
                <w:szCs w:val="13"/>
                <w:shd w:val="clear" w:color="auto" w:fill="FFFFFF"/>
              </w:rPr>
              <w:t>．</w:t>
            </w:r>
            <w:r>
              <w:rPr>
                <w:rFonts w:asciiTheme="minorEastAsia" w:hAnsiTheme="minorEastAsia" w:cstheme="minorEastAsia"/>
                <w:color w:val="000000" w:themeColor="text1"/>
                <w:szCs w:val="21"/>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赵学德</w:t>
            </w:r>
          </w:p>
        </w:tc>
        <w:tc>
          <w:tcPr>
            <w:tcW w:w="4819" w:type="dxa"/>
            <w:gridSpan w:val="5"/>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“语言表达蕴含研究”高端论坛</w:t>
            </w:r>
          </w:p>
        </w:tc>
        <w:tc>
          <w:tcPr>
            <w:tcW w:w="2784" w:type="dxa"/>
            <w:vAlign w:val="center"/>
          </w:tcPr>
          <w:p>
            <w:pPr>
              <w:pStyle w:val="46"/>
              <w:snapToGrid w:val="0"/>
              <w:spacing w:before="0" w:after="0" w:line="240" w:lineRule="auto"/>
              <w:jc w:val="center"/>
              <w:rPr>
                <w:rFonts w:asciiTheme="minorEastAsia" w:hAnsiTheme="minorEastAsia" w:eastAsiaTheme="minorEastAsia" w:cstheme="minorEastAsia"/>
                <w:b/>
                <w:color w:val="000000" w:themeColor="text1"/>
                <w:szCs w:val="21"/>
              </w:rPr>
            </w:pPr>
            <w:r>
              <w:rPr>
                <w:rFonts w:hint="eastAsia" w:asciiTheme="minorEastAsia" w:hAnsiTheme="minorEastAsia" w:eastAsiaTheme="minorEastAsia" w:cstheme="minorEastAsia"/>
                <w:color w:val="000000" w:themeColor="text1"/>
                <w:kern w:val="2"/>
                <w:szCs w:val="21"/>
              </w:rPr>
              <w:t>构式语法视阈下人体词“眉”的研究</w:t>
            </w:r>
          </w:p>
        </w:tc>
        <w:tc>
          <w:tcPr>
            <w:tcW w:w="2078"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kern w:val="0"/>
                <w:szCs w:val="21"/>
              </w:rPr>
              <w:t>大会报告</w:t>
            </w:r>
          </w:p>
        </w:tc>
        <w:tc>
          <w:tcPr>
            <w:tcW w:w="1252"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中国认知语言学研究会</w:t>
            </w:r>
          </w:p>
        </w:tc>
        <w:tc>
          <w:tcPr>
            <w:tcW w:w="1115" w:type="dxa"/>
            <w:vAlign w:val="center"/>
          </w:tcPr>
          <w:p>
            <w:pPr>
              <w:jc w:val="center"/>
              <w:rPr>
                <w:rFonts w:asciiTheme="minorEastAsia" w:hAnsiTheme="minorEastAsia" w:cstheme="minorEastAsia"/>
                <w:b/>
                <w:color w:val="000000" w:themeColor="text1"/>
                <w:szCs w:val="21"/>
              </w:rPr>
            </w:pPr>
            <w:r>
              <w:rPr>
                <w:rFonts w:hint="eastAsia" w:asciiTheme="minorEastAsia" w:hAnsiTheme="minorEastAsia" w:cstheme="minorEastAsia"/>
                <w:color w:val="000000" w:themeColor="text1"/>
                <w:szCs w:val="21"/>
              </w:rPr>
              <w:t>广州：华南理工大学外国语学院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赵翠阳</w:t>
            </w:r>
          </w:p>
        </w:tc>
        <w:tc>
          <w:tcPr>
            <w:tcW w:w="4819" w:type="dxa"/>
            <w:gridSpan w:val="5"/>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“互联网+时代”政务新媒体话语研究高峰论坛</w:t>
            </w:r>
          </w:p>
        </w:tc>
        <w:tc>
          <w:tcPr>
            <w:tcW w:w="2784"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“杭州发布”微博之微调查</w:t>
            </w:r>
          </w:p>
        </w:tc>
        <w:tc>
          <w:tcPr>
            <w:tcW w:w="2078"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大会报告</w:t>
            </w:r>
          </w:p>
        </w:tc>
        <w:tc>
          <w:tcPr>
            <w:tcW w:w="1252"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浙江科技学院</w:t>
            </w:r>
          </w:p>
        </w:tc>
        <w:tc>
          <w:tcPr>
            <w:tcW w:w="1115"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杭州：</w:t>
            </w:r>
            <w:r>
              <w:rPr>
                <w:rFonts w:hint="eastAsia" w:asciiTheme="minorEastAsia" w:hAnsiTheme="minorEastAsia" w:eastAsiaTheme="minorEastAsia" w:cstheme="minorEastAsia"/>
                <w:color w:val="000000" w:themeColor="text1"/>
                <w:szCs w:val="21"/>
              </w:rPr>
              <w:t>浙江科技学院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赵翠阳</w:t>
            </w:r>
          </w:p>
        </w:tc>
        <w:tc>
          <w:tcPr>
            <w:tcW w:w="4819" w:type="dxa"/>
            <w:gridSpan w:val="5"/>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第二届政务新媒体高峰论坛</w:t>
            </w:r>
          </w:p>
        </w:tc>
        <w:tc>
          <w:tcPr>
            <w:tcW w:w="2784"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政务</w:t>
            </w:r>
            <w:r>
              <w:fldChar w:fldCharType="begin"/>
            </w:r>
            <w:r>
              <w:instrText xml:space="preserve"> HYPERLINK "http://xueshu.baidu.com/s?wd=paperuri:(f6679d52959dea5ad2cbd18fac0ac78c)&amp;filter=sc_long_sign&amp;tn=SE_xueshusource_2kduw22v&amp;sc_vurl=http://www.cqvip.com/QK/80549X/201703/673073906.html&amp;ie=utf-8&amp;sc_us=1250929874714011638" \t "_blank" </w:instrText>
            </w:r>
            <w:r>
              <w:fldChar w:fldCharType="separate"/>
            </w:r>
            <w:r>
              <w:rPr>
                <w:rFonts w:hint="eastAsia" w:asciiTheme="minorEastAsia" w:hAnsiTheme="minorEastAsia" w:eastAsiaTheme="minorEastAsia" w:cstheme="minorEastAsia"/>
                <w:color w:val="000000" w:themeColor="text1"/>
                <w:kern w:val="2"/>
                <w:szCs w:val="21"/>
              </w:rPr>
              <w:t>微博语言的规范与创新</w:t>
            </w:r>
            <w:r>
              <w:rPr>
                <w:rFonts w:hint="eastAsia" w:asciiTheme="minorEastAsia" w:hAnsiTheme="minorEastAsia" w:eastAsiaTheme="minorEastAsia" w:cstheme="minorEastAsia"/>
                <w:color w:val="000000" w:themeColor="text1"/>
                <w:kern w:val="2"/>
                <w:szCs w:val="21"/>
              </w:rPr>
              <w:fldChar w:fldCharType="end"/>
            </w:r>
          </w:p>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p>
        </w:tc>
        <w:tc>
          <w:tcPr>
            <w:tcW w:w="2078"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分组报告</w:t>
            </w:r>
          </w:p>
        </w:tc>
        <w:tc>
          <w:tcPr>
            <w:tcW w:w="1252"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浙江科技学院</w:t>
            </w:r>
          </w:p>
        </w:tc>
        <w:tc>
          <w:tcPr>
            <w:tcW w:w="1115"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杭州</w:t>
            </w:r>
            <w:r>
              <w:rPr>
                <w:rFonts w:hint="eastAsia" w:asciiTheme="minorEastAsia" w:hAnsiTheme="minorEastAsia" w:eastAsiaTheme="minorEastAsia" w:cstheme="minorEastAsia"/>
                <w:color w:val="000000" w:themeColor="text1"/>
                <w:szCs w:val="21"/>
              </w:rPr>
              <w:t>：浙江科技学院</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夏利亚</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bCs/>
                <w:color w:val="000000" w:themeColor="text1"/>
                <w:szCs w:val="21"/>
              </w:rPr>
              <w:t>第十四届国际汉语教学学术研讨会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新媒体视域下的对外汉字教学研究</w:t>
            </w:r>
          </w:p>
        </w:tc>
        <w:tc>
          <w:tcPr>
            <w:tcW w:w="2078" w:type="dxa"/>
            <w:vAlign w:val="center"/>
          </w:tcPr>
          <w:p>
            <w:pPr>
              <w:ind w:firstLine="630" w:firstLineChars="30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澳门大学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澳门：澳門大学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施麟麒</w:t>
            </w:r>
          </w:p>
        </w:tc>
        <w:tc>
          <w:tcPr>
            <w:tcW w:w="4819" w:type="dxa"/>
            <w:gridSpan w:val="5"/>
            <w:vAlign w:val="center"/>
          </w:tcPr>
          <w:p>
            <w:pPr>
              <w:jc w:val="center"/>
              <w:rPr>
                <w:rFonts w:asciiTheme="minorEastAsia" w:hAnsiTheme="minorEastAsia" w:cstheme="minorEastAsia"/>
                <w:bCs/>
                <w:color w:val="000000" w:themeColor="text1"/>
                <w:szCs w:val="21"/>
              </w:rPr>
            </w:pPr>
            <w:r>
              <w:rPr>
                <w:rFonts w:hint="eastAsia" w:asciiTheme="minorEastAsia" w:hAnsiTheme="minorEastAsia" w:cstheme="minorEastAsia"/>
                <w:bCs/>
                <w:color w:val="000000" w:themeColor="text1"/>
                <w:szCs w:val="21"/>
              </w:rPr>
              <w:t>第二届周有光语言文字学学术研讨会暨“一带一路”语言高峰论坛。</w:t>
            </w:r>
          </w:p>
        </w:tc>
        <w:tc>
          <w:tcPr>
            <w:tcW w:w="2784" w:type="dxa"/>
            <w:vAlign w:val="center"/>
          </w:tcPr>
          <w:p>
            <w:pPr>
              <w:jc w:val="center"/>
              <w:rPr>
                <w:rFonts w:asciiTheme="minorEastAsia" w:hAnsiTheme="minorEastAsia" w:cstheme="minorEastAsia"/>
                <w:bCs/>
                <w:color w:val="000000" w:themeColor="text1"/>
                <w:szCs w:val="21"/>
              </w:rPr>
            </w:pPr>
            <w:r>
              <w:rPr>
                <w:rFonts w:hint="eastAsia" w:asciiTheme="minorEastAsia" w:hAnsiTheme="minorEastAsia" w:cstheme="minorEastAsia"/>
                <w:bCs/>
                <w:color w:val="000000" w:themeColor="text1"/>
                <w:szCs w:val="21"/>
              </w:rPr>
              <w:t>周有光语文现代化思想面面观</w:t>
            </w:r>
          </w:p>
        </w:tc>
        <w:tc>
          <w:tcPr>
            <w:tcW w:w="2078" w:type="dxa"/>
            <w:vAlign w:val="center"/>
          </w:tcPr>
          <w:p>
            <w:pPr>
              <w:ind w:firstLine="420" w:firstLineChars="200"/>
              <w:jc w:val="center"/>
              <w:rPr>
                <w:rFonts w:asciiTheme="minorEastAsia" w:hAnsiTheme="minorEastAsia" w:cstheme="minorEastAsia"/>
                <w:bCs/>
                <w:color w:val="000000" w:themeColor="text1"/>
                <w:szCs w:val="21"/>
              </w:rPr>
            </w:pPr>
            <w:r>
              <w:rPr>
                <w:rFonts w:hint="eastAsia" w:asciiTheme="minorEastAsia" w:hAnsiTheme="minorEastAsia" w:cstheme="minorEastAsia"/>
                <w:bCs/>
                <w:color w:val="000000" w:themeColor="text1"/>
                <w:szCs w:val="21"/>
              </w:rPr>
              <w:t>分组报告</w:t>
            </w:r>
          </w:p>
        </w:tc>
        <w:tc>
          <w:tcPr>
            <w:tcW w:w="1252" w:type="dxa"/>
            <w:vAlign w:val="center"/>
          </w:tcPr>
          <w:p>
            <w:pPr>
              <w:jc w:val="center"/>
              <w:rPr>
                <w:rFonts w:asciiTheme="minorEastAsia" w:hAnsiTheme="minorEastAsia" w:cstheme="minorEastAsia"/>
                <w:bCs/>
                <w:color w:val="000000" w:themeColor="text1"/>
                <w:szCs w:val="21"/>
              </w:rPr>
            </w:pPr>
            <w:r>
              <w:rPr>
                <w:rFonts w:hint="eastAsia" w:asciiTheme="minorEastAsia" w:hAnsiTheme="minorEastAsia" w:cstheme="minorEastAsia"/>
                <w:bCs/>
                <w:color w:val="000000" w:themeColor="text1"/>
                <w:szCs w:val="21"/>
              </w:rPr>
              <w:t>浙江大学</w:t>
            </w:r>
          </w:p>
        </w:tc>
        <w:tc>
          <w:tcPr>
            <w:tcW w:w="1115" w:type="dxa"/>
            <w:vAlign w:val="center"/>
          </w:tcPr>
          <w:p>
            <w:pPr>
              <w:jc w:val="center"/>
              <w:rPr>
                <w:rFonts w:asciiTheme="minorEastAsia" w:hAnsiTheme="minorEastAsia" w:cstheme="minorEastAsia"/>
                <w:bCs/>
                <w:color w:val="000000" w:themeColor="text1"/>
                <w:szCs w:val="21"/>
              </w:rPr>
            </w:pPr>
            <w:r>
              <w:rPr>
                <w:rFonts w:hint="eastAsia" w:asciiTheme="minorEastAsia" w:hAnsiTheme="minorEastAsia" w:cstheme="minorEastAsia"/>
                <w:bCs/>
                <w:color w:val="000000" w:themeColor="text1"/>
                <w:szCs w:val="21"/>
              </w:rPr>
              <w:t>上海：上海外国语大学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黄建滨</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汉语国际教育研讨会</w:t>
            </w:r>
          </w:p>
          <w:p>
            <w:pPr>
              <w:jc w:val="center"/>
              <w:rPr>
                <w:rFonts w:asciiTheme="minorEastAsia" w:hAnsiTheme="minorEastAsia" w:cstheme="minorEastAsia"/>
                <w:bCs/>
                <w:color w:val="000000" w:themeColor="text1"/>
                <w:szCs w:val="21"/>
              </w:rPr>
            </w:pPr>
            <w:r>
              <w:rPr>
                <w:rFonts w:hint="eastAsia" w:asciiTheme="minorEastAsia" w:hAnsiTheme="minorEastAsia" w:cstheme="minorEastAsia"/>
                <w:color w:val="000000" w:themeColor="text1"/>
                <w:szCs w:val="21"/>
                <w:highlight w:val="yellow"/>
              </w:rPr>
              <w:t>说明：会议名称不十分确定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中国古诗词英译方法新探</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上海外国语大学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w:t>
            </w:r>
            <w:r>
              <w:rPr>
                <w:rFonts w:hint="eastAsia" w:asciiTheme="minorEastAsia" w:hAnsiTheme="minorEastAsia" w:cstheme="minorEastAsia"/>
                <w:bCs/>
                <w:color w:val="000000" w:themeColor="text1"/>
                <w:szCs w:val="21"/>
              </w:rPr>
              <w:t>：上海外国语大学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snapToGrid w:val="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黄建滨</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国际汉语教育人才培养研讨会</w:t>
            </w:r>
          </w:p>
          <w:p>
            <w:pPr>
              <w:jc w:val="center"/>
              <w:rPr>
                <w:rFonts w:asciiTheme="minorEastAsia" w:hAnsiTheme="minorEastAsia" w:cstheme="minorEastAsia"/>
                <w:bCs/>
                <w:color w:val="000000" w:themeColor="text1"/>
                <w:szCs w:val="21"/>
              </w:rPr>
            </w:pPr>
            <w:r>
              <w:rPr>
                <w:rFonts w:hint="eastAsia" w:asciiTheme="minorEastAsia" w:hAnsiTheme="minorEastAsia" w:cstheme="minorEastAsia"/>
                <w:color w:val="000000" w:themeColor="text1"/>
                <w:szCs w:val="21"/>
                <w:highlight w:val="yellow"/>
              </w:rPr>
              <w:t>说明：会议名称不十分确定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日本汉语教材的现状、问题及对策</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北京师范大学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北京：北京师范大学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snapToGrid w:val="0"/>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黄建滨</w:t>
            </w:r>
          </w:p>
        </w:tc>
        <w:tc>
          <w:tcPr>
            <w:tcW w:w="4819" w:type="dxa"/>
            <w:gridSpan w:val="5"/>
            <w:vAlign w:val="center"/>
          </w:tcPr>
          <w:p>
            <w:pPr>
              <w:jc w:val="center"/>
              <w:rPr>
                <w:rFonts w:asciiTheme="minorEastAsia" w:hAnsiTheme="minorEastAsia" w:cstheme="minorEastAsia"/>
                <w:bCs/>
                <w:color w:val="000000" w:themeColor="text1"/>
                <w:szCs w:val="21"/>
              </w:rPr>
            </w:pPr>
            <w:r>
              <w:fldChar w:fldCharType="begin"/>
            </w:r>
            <w:r>
              <w:instrText xml:space="preserve"> HYPERLINK "http://kns.cnki.net/kns/NaviBridge.aspx?bt=1&amp;DBCode=IPFD&amp;BaseID=SJXL201407001&amp;UnitCode=&amp;NaviLink=%e7%ac%ac%e5%85%ad%e5%b1%8a%e7%8e%b0%e4%bb%a3%e6%b1%89%e8%af%ad%e8%99%9a%e8%af%8d%e7%a0%94%e7%a9%b6%e4%b8%8e%e5%af%b9%e5%a4%96%e6%b1%89%e8%af%ad%e6%95%99%e5%ad%a6%e5%ad%a6%e6%9c%af%e7%a0%94%e8%ae%a8%e4%bc%9a%e8%ae%ba%e6%96%87%e9%9b%86" \t "_blank" </w:instrText>
            </w:r>
            <w:r>
              <w:fldChar w:fldCharType="separate"/>
            </w:r>
            <w:r>
              <w:rPr>
                <w:rFonts w:hint="eastAsia" w:asciiTheme="minorEastAsia" w:hAnsiTheme="minorEastAsia" w:cstheme="minorEastAsia"/>
                <w:color w:val="000000" w:themeColor="text1"/>
                <w:szCs w:val="21"/>
              </w:rPr>
              <w:t>第六届现代汉语虚词研究与对外汉语教学学术研讨会论文集</w:t>
            </w:r>
            <w:r>
              <w:rPr>
                <w:rFonts w:hint="eastAsia" w:asciiTheme="minorEastAsia" w:hAnsiTheme="minorEastAsia" w:cstheme="minorEastAsia"/>
                <w:color w:val="000000" w:themeColor="text1"/>
                <w:szCs w:val="21"/>
              </w:rPr>
              <w:fldChar w:fldCharType="end"/>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《体验汉语》泰国少儿汉语教材评介</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上海师范大学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上海</w:t>
            </w:r>
            <w:r>
              <w:rPr>
                <w:rFonts w:hint="eastAsia" w:asciiTheme="minorEastAsia" w:hAnsiTheme="minorEastAsia" w:cstheme="minorEastAsia"/>
                <w:bCs/>
                <w:color w:val="000000" w:themeColor="text1"/>
                <w:szCs w:val="21"/>
              </w:rPr>
              <w:t>：上海外国语大学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黄建滨</w:t>
            </w:r>
          </w:p>
        </w:tc>
        <w:tc>
          <w:tcPr>
            <w:tcW w:w="4819" w:type="dxa"/>
            <w:gridSpan w:val="5"/>
            <w:vAlign w:val="center"/>
          </w:tcPr>
          <w:p>
            <w:pPr>
              <w:jc w:val="center"/>
              <w:rPr>
                <w:rFonts w:asciiTheme="minorEastAsia" w:hAnsiTheme="minorEastAsia" w:cstheme="minorEastAsia"/>
                <w:bCs/>
                <w:color w:val="000000" w:themeColor="text1"/>
                <w:szCs w:val="21"/>
              </w:rPr>
            </w:pPr>
            <w:r>
              <w:rPr>
                <w:rFonts w:hint="eastAsia" w:asciiTheme="minorEastAsia" w:hAnsiTheme="minorEastAsia" w:cstheme="minorEastAsia"/>
                <w:color w:val="000000" w:themeColor="text1"/>
                <w:szCs w:val="21"/>
              </w:rPr>
              <w:t>国别化教材研讨会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国别化汉语教材研究——以《体验汉语》泰国版为例</w:t>
            </w:r>
          </w:p>
        </w:tc>
        <w:tc>
          <w:tcPr>
            <w:tcW w:w="2078"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重庆大学</w:t>
            </w:r>
          </w:p>
        </w:tc>
        <w:tc>
          <w:tcPr>
            <w:tcW w:w="1115"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重庆：重庆大学</w:t>
            </w:r>
          </w:p>
        </w:tc>
        <w:tc>
          <w:tcPr>
            <w:tcW w:w="1140" w:type="dxa"/>
            <w:vAlign w:val="center"/>
          </w:tcPr>
          <w:p>
            <w:pPr>
              <w:jc w:val="center"/>
              <w:rPr>
                <w:rFonts w:asciiTheme="minorEastAsia" w:hAnsiTheme="minorEastAsia" w:cstheme="minorEastAsia"/>
                <w:color w:val="000000" w:themeColor="text1"/>
                <w:szCs w:val="21"/>
              </w:rPr>
            </w:pPr>
            <w:r>
              <w:rPr>
                <w:rFonts w:hint="eastAsia" w:asciiTheme="minorEastAsia" w:hAnsiTheme="minorEastAsia" w:cstheme="minorEastAsia"/>
                <w:color w:val="000000" w:themeColor="text1"/>
                <w:szCs w:val="21"/>
              </w:rPr>
              <w:t>2015.05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852" w:type="dxa"/>
            <w:gridSpan w:val="2"/>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hAnsi="宋体" w:cs="黑体"/>
                <w:color w:val="000000" w:themeColor="text1"/>
                <w:kern w:val="2"/>
                <w:szCs w:val="21"/>
              </w:rPr>
              <w:t>陶绍清</w:t>
            </w:r>
          </w:p>
        </w:tc>
        <w:tc>
          <w:tcPr>
            <w:tcW w:w="4819" w:type="dxa"/>
            <w:gridSpan w:val="5"/>
            <w:vAlign w:val="center"/>
          </w:tcPr>
          <w:p>
            <w:pPr>
              <w:jc w:val="center"/>
              <w:rPr>
                <w:rFonts w:asciiTheme="minorEastAsia" w:hAnsiTheme="minorEastAsia" w:cstheme="minorEastAsia"/>
                <w:color w:val="000000" w:themeColor="text1"/>
                <w:szCs w:val="21"/>
              </w:rPr>
            </w:pPr>
            <w:r>
              <w:rPr>
                <w:rFonts w:hint="eastAsia" w:ascii="宋体" w:hAnsi="宋体"/>
                <w:bCs/>
                <w:color w:val="000000" w:themeColor="text1"/>
                <w:szCs w:val="21"/>
              </w:rPr>
              <w:t>中国古代散文学会第十一届年会暨国际学术研讨会</w:t>
            </w:r>
          </w:p>
        </w:tc>
        <w:tc>
          <w:tcPr>
            <w:tcW w:w="2784" w:type="dxa"/>
            <w:vAlign w:val="center"/>
          </w:tcPr>
          <w:p>
            <w:pPr>
              <w:jc w:val="center"/>
              <w:rPr>
                <w:rFonts w:asciiTheme="minorEastAsia" w:hAnsiTheme="minorEastAsia" w:cstheme="minorEastAsia"/>
                <w:color w:val="000000" w:themeColor="text1"/>
                <w:szCs w:val="21"/>
              </w:rPr>
            </w:pPr>
            <w:r>
              <w:rPr>
                <w:rFonts w:hint="eastAsia" w:ascii="宋体" w:hAnsi="宋体"/>
                <w:color w:val="000000" w:themeColor="text1"/>
                <w:szCs w:val="21"/>
              </w:rPr>
              <w:t>政治隐喻下的文学张目</w:t>
            </w:r>
          </w:p>
        </w:tc>
        <w:tc>
          <w:tcPr>
            <w:tcW w:w="2078" w:type="dxa"/>
            <w:vAlign w:val="center"/>
          </w:tcPr>
          <w:p>
            <w:pPr>
              <w:ind w:firstLine="420" w:firstLineChars="200"/>
              <w:jc w:val="center"/>
              <w:rPr>
                <w:rFonts w:asciiTheme="minorEastAsia" w:hAnsiTheme="minorEastAsia" w:cstheme="minorEastAsia"/>
                <w:color w:val="000000" w:themeColor="text1"/>
                <w:szCs w:val="21"/>
              </w:rPr>
            </w:pPr>
            <w:r>
              <w:rPr>
                <w:rFonts w:hint="eastAsia" w:ascii="宋体" w:hAnsi="宋体" w:cs="黑体"/>
                <w:color w:val="000000" w:themeColor="text1"/>
                <w:szCs w:val="21"/>
              </w:rPr>
              <w:t>分组报告</w:t>
            </w:r>
          </w:p>
        </w:tc>
        <w:tc>
          <w:tcPr>
            <w:tcW w:w="1252" w:type="dxa"/>
            <w:vAlign w:val="center"/>
          </w:tcPr>
          <w:p>
            <w:pPr>
              <w:jc w:val="center"/>
              <w:rPr>
                <w:rFonts w:asciiTheme="minorEastAsia" w:hAnsiTheme="minorEastAsia" w:cstheme="minorEastAsia"/>
                <w:color w:val="000000" w:themeColor="text1"/>
                <w:szCs w:val="21"/>
              </w:rPr>
            </w:pPr>
            <w:r>
              <w:rPr>
                <w:rFonts w:hint="eastAsia" w:ascii="宋体" w:hAnsi="宋体"/>
                <w:color w:val="000000" w:themeColor="text1"/>
                <w:szCs w:val="21"/>
              </w:rPr>
              <w:t>中国古代散文学会</w:t>
            </w:r>
          </w:p>
        </w:tc>
        <w:tc>
          <w:tcPr>
            <w:tcW w:w="1115" w:type="dxa"/>
            <w:vAlign w:val="center"/>
          </w:tcPr>
          <w:p>
            <w:pPr>
              <w:jc w:val="center"/>
              <w:rPr>
                <w:rFonts w:asciiTheme="minorEastAsia" w:hAnsiTheme="minorEastAsia" w:cstheme="minorEastAsia"/>
                <w:color w:val="000000" w:themeColor="text1"/>
                <w:szCs w:val="21"/>
              </w:rPr>
            </w:pPr>
            <w:r>
              <w:rPr>
                <w:rFonts w:hint="eastAsia" w:ascii="宋体" w:hAnsi="宋体"/>
                <w:color w:val="000000" w:themeColor="text1"/>
                <w:szCs w:val="21"/>
              </w:rPr>
              <w:t>桂林：广西师范大学</w:t>
            </w:r>
          </w:p>
        </w:tc>
        <w:tc>
          <w:tcPr>
            <w:tcW w:w="1140" w:type="dxa"/>
            <w:vAlign w:val="center"/>
          </w:tcPr>
          <w:p>
            <w:pPr>
              <w:pStyle w:val="46"/>
              <w:snapToGrid w:val="0"/>
              <w:spacing w:before="0" w:after="0" w:line="240" w:lineRule="auto"/>
              <w:jc w:val="center"/>
              <w:rPr>
                <w:rFonts w:asciiTheme="minorEastAsia" w:hAnsiTheme="minorEastAsia" w:eastAsiaTheme="minorEastAsia" w:cstheme="minorEastAsia"/>
                <w:color w:val="000000" w:themeColor="text1"/>
                <w:kern w:val="2"/>
                <w:szCs w:val="21"/>
              </w:rPr>
            </w:pPr>
            <w:r>
              <w:rPr>
                <w:rFonts w:hint="eastAsia" w:asciiTheme="minorEastAsia" w:hAnsiTheme="minorEastAsia" w:eastAsiaTheme="minorEastAsia" w:cstheme="minorEastAsia"/>
                <w:color w:val="000000" w:themeColor="text1"/>
                <w:kern w:val="2"/>
                <w:szCs w:val="21"/>
              </w:rPr>
              <w:t>2016.09</w:t>
            </w:r>
          </w:p>
        </w:tc>
      </w:tr>
    </w:tbl>
    <w:p>
      <w:pPr>
        <w:spacing w:afterLines="50" w:line="400" w:lineRule="exact"/>
        <w:rPr>
          <w:rFonts w:asciiTheme="minorEastAsia" w:hAnsiTheme="minorEastAsia" w:cstheme="minorEastAsia"/>
          <w:b/>
          <w:color w:val="000000" w:themeColor="text1"/>
          <w:szCs w:val="21"/>
        </w:rPr>
      </w:pPr>
    </w:p>
    <w:p>
      <w:pPr>
        <w:spacing w:afterLines="50" w:line="400" w:lineRule="exact"/>
        <w:rPr>
          <w:rFonts w:asciiTheme="minorEastAsia" w:hAnsiTheme="minorEastAsia" w:cstheme="minorEastAsia"/>
          <w:b/>
          <w:color w:val="000000" w:themeColor="text1"/>
          <w:szCs w:val="21"/>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35" w:lineRule="atLeast"/>
        <w:jc w:val="center"/>
        <w:rPr>
          <w:rFonts w:ascii="仿宋_GB2312" w:hAnsi="PingFang SC" w:eastAsia="仿宋_GB2312" w:cs="Courier New"/>
          <w:color w:val="000000" w:themeColor="text1"/>
          <w:kern w:val="0"/>
          <w:sz w:val="32"/>
          <w:szCs w:val="32"/>
        </w:rPr>
      </w:pPr>
      <w:r>
        <w:rPr>
          <w:rFonts w:hint="eastAsia" w:ascii="仿宋_GB2312" w:hAnsi="Calibri" w:eastAsia="仿宋_GB2312" w:cs="黑体"/>
          <w:b/>
          <w:color w:val="000000" w:themeColor="text1"/>
          <w:kern w:val="0"/>
          <w:sz w:val="32"/>
          <w:szCs w:val="32"/>
        </w:rPr>
        <w:t>表Ⅱ  近3年人才培养情况汇总表</w:t>
      </w:r>
    </w:p>
    <w:tbl>
      <w:tblPr>
        <w:tblStyle w:val="30"/>
        <w:tblW w:w="14964" w:type="dxa"/>
        <w:jc w:val="center"/>
        <w:tblInd w:w="-62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268"/>
        <w:gridCol w:w="1701"/>
        <w:gridCol w:w="3594"/>
        <w:gridCol w:w="3653"/>
        <w:gridCol w:w="1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4964" w:type="dxa"/>
            <w:gridSpan w:val="6"/>
            <w:tcBorders>
              <w:top w:val="single" w:color="auto" w:sz="12" w:space="0"/>
              <w:bottom w:val="single" w:color="auto" w:sz="12" w:space="0"/>
            </w:tcBorders>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Ⅱ-1人才培养经费投入情况（单位：人民币）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974"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学费标准</w:t>
            </w:r>
          </w:p>
        </w:tc>
        <w:tc>
          <w:tcPr>
            <w:tcW w:w="2268"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生均培养业务费</w:t>
            </w:r>
          </w:p>
        </w:tc>
        <w:tc>
          <w:tcPr>
            <w:tcW w:w="1701" w:type="dxa"/>
            <w:tcBorders>
              <w:top w:val="single" w:color="auto" w:sz="12" w:space="0"/>
            </w:tcBorders>
            <w:vAlign w:val="center"/>
          </w:tcPr>
          <w:p>
            <w:pPr>
              <w:tabs>
                <w:tab w:val="left" w:pos="975"/>
              </w:tabs>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助学金/年</w:t>
            </w:r>
          </w:p>
        </w:tc>
        <w:tc>
          <w:tcPr>
            <w:tcW w:w="3594"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奖学金类别及金额</w:t>
            </w:r>
          </w:p>
        </w:tc>
        <w:tc>
          <w:tcPr>
            <w:tcW w:w="3653"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中外联合培养资助（/年/生）</w:t>
            </w:r>
          </w:p>
        </w:tc>
        <w:tc>
          <w:tcPr>
            <w:tcW w:w="1774"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1974"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10000元/年</w:t>
            </w:r>
          </w:p>
        </w:tc>
        <w:tc>
          <w:tcPr>
            <w:tcW w:w="2268" w:type="dxa"/>
            <w:tcBorders>
              <w:top w:val="single" w:color="auto" w:sz="12" w:space="0"/>
            </w:tcBorders>
            <w:vAlign w:val="center"/>
          </w:tcPr>
          <w:p>
            <w:pPr>
              <w:jc w:val="center"/>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8000元/年</w:t>
            </w:r>
          </w:p>
        </w:tc>
        <w:tc>
          <w:tcPr>
            <w:tcW w:w="1701" w:type="dxa"/>
            <w:tcBorders>
              <w:top w:val="single" w:color="auto" w:sz="12" w:space="0"/>
            </w:tcBorders>
            <w:vAlign w:val="center"/>
          </w:tcPr>
          <w:p>
            <w:pPr>
              <w:tabs>
                <w:tab w:val="left" w:pos="975"/>
              </w:tabs>
              <w:rPr>
                <w:rFonts w:ascii="仿宋_GB2312" w:hAnsi="Calibri" w:eastAsia="仿宋_GB2312" w:cs="黑体"/>
                <w:b/>
                <w:color w:val="000000" w:themeColor="text1"/>
                <w:sz w:val="24"/>
                <w:szCs w:val="32"/>
              </w:rPr>
            </w:pPr>
            <w:r>
              <w:rPr>
                <w:rFonts w:hint="eastAsia" w:ascii="仿宋_GB2312" w:hAnsi="Calibri" w:eastAsia="仿宋_GB2312" w:cs="黑体"/>
                <w:b/>
                <w:color w:val="000000" w:themeColor="text1"/>
                <w:sz w:val="24"/>
                <w:szCs w:val="32"/>
              </w:rPr>
              <w:t>6000元/年</w:t>
            </w:r>
          </w:p>
        </w:tc>
        <w:tc>
          <w:tcPr>
            <w:tcW w:w="3594" w:type="dxa"/>
            <w:tcBorders>
              <w:top w:val="single" w:color="auto" w:sz="12" w:space="0"/>
            </w:tcBorders>
            <w:vAlign w:val="center"/>
          </w:tcPr>
          <w:p>
            <w:pPr>
              <w:adjustRightInd w:val="0"/>
              <w:snapToGrid w:val="0"/>
              <w:jc w:val="center"/>
              <w:textAlignment w:val="baseline"/>
              <w:rPr>
                <w:rFonts w:ascii="仿宋_GB2312" w:hAnsi="Calibri" w:eastAsia="仿宋_GB2312" w:cs="黑体"/>
                <w:b/>
                <w:color w:val="000000" w:themeColor="text1"/>
                <w:sz w:val="24"/>
                <w:szCs w:val="32"/>
              </w:rPr>
            </w:pPr>
            <w:r>
              <w:rPr>
                <w:rFonts w:hint="eastAsia" w:ascii="仿宋_GB2312" w:hAnsi="Times New Roman" w:eastAsia="仿宋_GB2312" w:cs="Times New Roman"/>
                <w:b/>
                <w:color w:val="000000" w:themeColor="text1"/>
                <w:kern w:val="0"/>
                <w:sz w:val="24"/>
                <w:szCs w:val="32"/>
              </w:rPr>
              <w:t>国家奖学金   20000元/次              校学业奖学金一等12000元</w:t>
            </w:r>
            <w:r>
              <w:rPr>
                <w:rFonts w:hint="eastAsia" w:ascii="仿宋_GB2312" w:hAnsi="Calibri" w:eastAsia="仿宋_GB2312" w:cs="黑体"/>
                <w:b/>
                <w:color w:val="000000" w:themeColor="text1"/>
                <w:sz w:val="24"/>
                <w:szCs w:val="32"/>
              </w:rPr>
              <w:t>/年，二等10000/年，三等8000元/年 ，单项奖学金</w:t>
            </w:r>
            <w:r>
              <w:rPr>
                <w:rFonts w:hint="eastAsia" w:ascii="仿宋_GB2312" w:hAnsi="Times New Roman" w:eastAsia="仿宋_GB2312" w:cs="Times New Roman"/>
                <w:b/>
                <w:color w:val="000000" w:themeColor="text1"/>
                <w:kern w:val="0"/>
                <w:sz w:val="24"/>
                <w:szCs w:val="32"/>
              </w:rPr>
              <w:t>1000元</w:t>
            </w:r>
            <w:r>
              <w:rPr>
                <w:rFonts w:hint="eastAsia" w:ascii="仿宋_GB2312" w:hAnsi="Calibri" w:eastAsia="仿宋_GB2312" w:cs="黑体"/>
                <w:b/>
                <w:color w:val="000000" w:themeColor="text1"/>
                <w:sz w:val="24"/>
                <w:szCs w:val="32"/>
              </w:rPr>
              <w:t xml:space="preserve">/年  </w:t>
            </w:r>
          </w:p>
          <w:p>
            <w:pPr>
              <w:adjustRightInd w:val="0"/>
              <w:snapToGrid w:val="0"/>
              <w:jc w:val="center"/>
              <w:textAlignment w:val="baseline"/>
              <w:rPr>
                <w:rFonts w:ascii="仿宋_GB2312" w:hAnsi="Times New Roman" w:eastAsia="仿宋_GB2312" w:cs="Times New Roman"/>
                <w:b/>
                <w:color w:val="000000" w:themeColor="text1"/>
                <w:kern w:val="0"/>
                <w:sz w:val="24"/>
                <w:szCs w:val="32"/>
              </w:rPr>
            </w:pPr>
            <w:r>
              <w:rPr>
                <w:rFonts w:hint="eastAsia" w:ascii="仿宋_GB2312" w:hAnsi="Calibri" w:eastAsia="仿宋_GB2312" w:cs="黑体"/>
                <w:b/>
                <w:color w:val="000000" w:themeColor="text1"/>
                <w:sz w:val="24"/>
                <w:szCs w:val="32"/>
              </w:rPr>
              <w:t xml:space="preserve">校新生奖学金  </w:t>
            </w:r>
            <w:r>
              <w:rPr>
                <w:rFonts w:hint="eastAsia" w:ascii="仿宋_GB2312" w:hAnsi="Times New Roman" w:eastAsia="仿宋_GB2312" w:cs="Times New Roman"/>
                <w:b/>
                <w:color w:val="000000" w:themeColor="text1"/>
                <w:kern w:val="0"/>
                <w:sz w:val="24"/>
                <w:szCs w:val="32"/>
              </w:rPr>
              <w:t>一等10000元</w:t>
            </w:r>
            <w:r>
              <w:rPr>
                <w:rFonts w:hint="eastAsia" w:ascii="仿宋_GB2312" w:hAnsi="Calibri" w:eastAsia="仿宋_GB2312" w:cs="黑体"/>
                <w:b/>
                <w:color w:val="000000" w:themeColor="text1"/>
                <w:sz w:val="24"/>
                <w:szCs w:val="32"/>
              </w:rPr>
              <w:t xml:space="preserve">/年，二等8000元/年           </w:t>
            </w:r>
          </w:p>
        </w:tc>
        <w:tc>
          <w:tcPr>
            <w:tcW w:w="3653" w:type="dxa"/>
            <w:tcBorders>
              <w:top w:val="single" w:color="auto" w:sz="12" w:space="0"/>
            </w:tcBorders>
            <w:vAlign w:val="center"/>
          </w:tcPr>
          <w:p>
            <w:pPr>
              <w:adjustRightInd w:val="0"/>
              <w:snapToGrid w:val="0"/>
              <w:jc w:val="center"/>
              <w:textAlignment w:val="baseline"/>
              <w:rPr>
                <w:rFonts w:ascii="仿宋_GB2312" w:hAnsi="Times New Roman" w:eastAsia="仿宋_GB2312" w:cs="Times New Roman"/>
                <w:b/>
                <w:color w:val="000000" w:themeColor="text1"/>
                <w:kern w:val="0"/>
                <w:sz w:val="24"/>
                <w:szCs w:val="32"/>
              </w:rPr>
            </w:pPr>
          </w:p>
        </w:tc>
        <w:tc>
          <w:tcPr>
            <w:tcW w:w="1774" w:type="dxa"/>
            <w:tcBorders>
              <w:top w:val="single" w:color="auto" w:sz="12" w:space="0"/>
            </w:tcBorders>
            <w:vAlign w:val="center"/>
          </w:tcPr>
          <w:p>
            <w:pPr>
              <w:jc w:val="center"/>
              <w:rPr>
                <w:rFonts w:ascii="仿宋_GB2312" w:hAnsi="Calibri" w:eastAsia="仿宋_GB2312" w:cs="黑体"/>
                <w:b/>
                <w:color w:val="000000" w:themeColor="text1"/>
                <w:sz w:val="24"/>
                <w:szCs w:val="32"/>
              </w:rPr>
            </w:pPr>
          </w:p>
        </w:tc>
      </w:tr>
    </w:tbl>
    <w:p>
      <w:pPr>
        <w:spacing w:line="400" w:lineRule="exact"/>
        <w:rPr>
          <w:rFonts w:ascii="仿宋_GB2312" w:hAnsi="Calibri" w:eastAsia="仿宋_GB2312" w:cs="黑体"/>
          <w:b/>
          <w:color w:val="000000" w:themeColor="text1"/>
          <w:sz w:val="32"/>
          <w:szCs w:val="32"/>
        </w:rPr>
      </w:pPr>
    </w:p>
    <w:tbl>
      <w:tblPr>
        <w:tblStyle w:val="30"/>
        <w:tblW w:w="14801" w:type="dxa"/>
        <w:jc w:val="center"/>
        <w:tblInd w:w="-163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2190"/>
        <w:gridCol w:w="1860"/>
        <w:gridCol w:w="3840"/>
        <w:gridCol w:w="2130"/>
        <w:gridCol w:w="1260"/>
        <w:gridCol w:w="1335"/>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4801" w:type="dxa"/>
            <w:gridSpan w:val="8"/>
            <w:tcBorders>
              <w:top w:val="single" w:color="auto" w:sz="12" w:space="0"/>
              <w:bottom w:val="single" w:color="auto" w:sz="12" w:space="0"/>
            </w:tcBorders>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Ⅱ-2人才培养实习基地及实习情况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4801" w:type="dxa"/>
            <w:gridSpan w:val="8"/>
            <w:tcBorders>
              <w:top w:val="single" w:color="auto" w:sz="12" w:space="0"/>
              <w:bottom w:val="single" w:color="auto" w:sz="12" w:space="0"/>
            </w:tcBorders>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Ⅱ-2-1实习基地情况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基地名称</w:t>
            </w:r>
          </w:p>
        </w:tc>
        <w:tc>
          <w:tcPr>
            <w:tcW w:w="1860" w:type="dxa"/>
            <w:tcBorders>
              <w:top w:val="single" w:color="auto" w:sz="12" w:space="0"/>
            </w:tcBorders>
            <w:vAlign w:val="center"/>
          </w:tcPr>
          <w:p>
            <w:pPr>
              <w:tabs>
                <w:tab w:val="left" w:pos="975"/>
              </w:tabs>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地址</w:t>
            </w:r>
          </w:p>
        </w:tc>
        <w:tc>
          <w:tcPr>
            <w:tcW w:w="3840"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接收实习人数</w:t>
            </w:r>
          </w:p>
        </w:tc>
        <w:tc>
          <w:tcPr>
            <w:tcW w:w="2130"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Times New Roman" w:eastAsia="仿宋_GB2312" w:cs="Times New Roman"/>
                <w:b/>
                <w:bCs/>
                <w:color w:val="000000" w:themeColor="text1"/>
                <w:kern w:val="0"/>
                <w:sz w:val="24"/>
                <w:szCs w:val="32"/>
              </w:rPr>
              <w:t>负责人</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联系电话</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邮箱</w:t>
            </w:r>
          </w:p>
        </w:tc>
        <w:tc>
          <w:tcPr>
            <w:tcW w:w="1107"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1</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德国埃尔福特应用科技大学孔子学院</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德国</w:t>
            </w:r>
            <w:r>
              <w:rPr>
                <w:color w:val="000000" w:themeColor="text1"/>
                <w:szCs w:val="21"/>
              </w:rPr>
              <w:t>埃尔福特</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2-4</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贾峰昌</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+49(0)6700 3409</w:t>
            </w:r>
            <w:r>
              <w:rPr>
                <w:rFonts w:hint="eastAsia"/>
                <w:color w:val="000000" w:themeColor="text1"/>
                <w:szCs w:val="21"/>
              </w:rPr>
              <w:br w:type="textWrapping"/>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konfuzius@ki-erfurt.de</w:t>
            </w:r>
          </w:p>
        </w:tc>
        <w:tc>
          <w:tcPr>
            <w:tcW w:w="1107" w:type="dxa"/>
            <w:tcBorders>
              <w:top w:val="single" w:color="auto" w:sz="12" w:space="0"/>
            </w:tcBorders>
            <w:vAlign w:val="center"/>
          </w:tcPr>
          <w:p>
            <w:pPr>
              <w:jc w:val="center"/>
              <w:rPr>
                <w:color w:val="000000" w:themeColor="text1"/>
                <w:szCs w:val="21"/>
              </w:rPr>
            </w:pPr>
            <w:r>
              <w:rPr>
                <w:rFonts w:hint="eastAsia"/>
                <w:color w:val="000000" w:themeColor="text1"/>
                <w:szCs w:val="21"/>
              </w:rPr>
              <w:t>本校合作孔院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罗马尼亚克鲁日</w:t>
            </w:r>
            <w:r>
              <w:rPr>
                <w:rFonts w:hint="eastAsia" w:asciiTheme="minorEastAsia" w:hAnsiTheme="minorEastAsia" w:cstheme="minorEastAsia"/>
                <w:color w:val="000000" w:themeColor="text1"/>
                <w:kern w:val="0"/>
                <w:sz w:val="22"/>
              </w:rPr>
              <w:t>巴比什 波雅依大学</w:t>
            </w:r>
            <w:r>
              <w:rPr>
                <w:rFonts w:hint="eastAsia"/>
                <w:color w:val="000000" w:themeColor="text1"/>
                <w:szCs w:val="21"/>
              </w:rPr>
              <w:t>孔子学院</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罗马尼亚克鲁日</w:t>
            </w:r>
            <w:r>
              <w:rPr>
                <w:color w:val="000000" w:themeColor="text1"/>
                <w:szCs w:val="21"/>
              </w:rPr>
              <w:t>·纳波卡市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4-10</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夏俊锁</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0040 727 44 11 56</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xiajunsuo2010@126.com</w:t>
            </w:r>
          </w:p>
        </w:tc>
        <w:tc>
          <w:tcPr>
            <w:tcW w:w="1107" w:type="dxa"/>
            <w:tcBorders>
              <w:top w:val="single" w:color="auto" w:sz="12" w:space="0"/>
            </w:tcBorders>
            <w:vAlign w:val="center"/>
          </w:tcPr>
          <w:p>
            <w:pPr>
              <w:jc w:val="center"/>
              <w:rPr>
                <w:color w:val="000000" w:themeColor="text1"/>
                <w:szCs w:val="21"/>
              </w:rPr>
            </w:pPr>
            <w:r>
              <w:rPr>
                <w:rFonts w:hint="eastAsia"/>
                <w:color w:val="000000" w:themeColor="text1"/>
                <w:szCs w:val="21"/>
              </w:rPr>
              <w:t>本校合作孔院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3</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印度尼西亚八华学校</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印尼丹格朗地区</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4-8</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席赫灿</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sdmpahoa3@gmail.com</w:t>
            </w:r>
          </w:p>
        </w:tc>
        <w:tc>
          <w:tcPr>
            <w:tcW w:w="1107" w:type="dxa"/>
            <w:tcBorders>
              <w:top w:val="single" w:color="auto" w:sz="12" w:space="0"/>
            </w:tcBorders>
            <w:vAlign w:val="center"/>
          </w:tcPr>
          <w:p>
            <w:pPr>
              <w:jc w:val="center"/>
              <w:rPr>
                <w:color w:val="000000" w:themeColor="text1"/>
                <w:szCs w:val="21"/>
              </w:rPr>
            </w:pPr>
            <w:r>
              <w:rPr>
                <w:rFonts w:hint="eastAsia"/>
                <w:color w:val="000000" w:themeColor="text1"/>
                <w:szCs w:val="21"/>
              </w:rPr>
              <w:t>海外实习基地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泰中华文教育基金会</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泰国</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2-6</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魏青</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02-5794486转1030 </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ab/>
            </w:r>
            <w:r>
              <w:fldChar w:fldCharType="begin"/>
            </w:r>
            <w:r>
              <w:instrText xml:space="preserve"> HYPERLINK "mailto:284884805@qq.com" </w:instrText>
            </w:r>
            <w:r>
              <w:fldChar w:fldCharType="separate"/>
            </w:r>
            <w:r>
              <w:rPr>
                <w:rFonts w:hint="eastAsia"/>
                <w:color w:val="000000" w:themeColor="text1"/>
                <w:szCs w:val="21"/>
              </w:rPr>
              <w:t>284884805@qq.com</w:t>
            </w:r>
            <w:r>
              <w:rPr>
                <w:rFonts w:hint="eastAsia"/>
                <w:color w:val="000000" w:themeColor="text1"/>
                <w:szCs w:val="21"/>
              </w:rPr>
              <w:fldChar w:fldCharType="end"/>
            </w:r>
          </w:p>
        </w:tc>
        <w:tc>
          <w:tcPr>
            <w:tcW w:w="1107" w:type="dxa"/>
            <w:tcBorders>
              <w:top w:val="single" w:color="auto" w:sz="12" w:space="0"/>
            </w:tcBorders>
            <w:vAlign w:val="center"/>
          </w:tcPr>
          <w:p>
            <w:pPr>
              <w:jc w:val="center"/>
              <w:rPr>
                <w:color w:val="000000" w:themeColor="text1"/>
                <w:szCs w:val="21"/>
              </w:rPr>
            </w:pPr>
            <w:r>
              <w:rPr>
                <w:rFonts w:hint="eastAsia"/>
                <w:color w:val="000000" w:themeColor="text1"/>
                <w:szCs w:val="21"/>
              </w:rPr>
              <w:t>海外实习基地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5</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美国明德大学杭州学校</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浙江省杭州市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2-4</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陶红</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13735862058</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p>
        </w:tc>
        <w:tc>
          <w:tcPr>
            <w:tcW w:w="1107" w:type="dxa"/>
            <w:tcBorders>
              <w:top w:val="single" w:color="auto" w:sz="12" w:space="0"/>
            </w:tcBorders>
            <w:vAlign w:val="center"/>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6</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东华大学</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上海市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4-6</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鲁洲</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ascii="Arial" w:hAnsi="Arial" w:eastAsia="宋体" w:cs="Arial"/>
                <w:color w:val="000000" w:themeColor="text1"/>
                <w:sz w:val="18"/>
                <w:szCs w:val="18"/>
              </w:rPr>
              <w:t>0086-21-62378595</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fldChar w:fldCharType="begin"/>
            </w:r>
            <w:r>
              <w:instrText xml:space="preserve"> HYPERLINK "mailto:ices@dhu.edu.cn" </w:instrText>
            </w:r>
            <w:r>
              <w:fldChar w:fldCharType="separate"/>
            </w:r>
            <w:r>
              <w:rPr>
                <w:color w:val="000000" w:themeColor="text1"/>
                <w:szCs w:val="21"/>
              </w:rPr>
              <w:t>ices@dhu.edu.cn</w:t>
            </w:r>
            <w:r>
              <w:rPr>
                <w:color w:val="000000" w:themeColor="text1"/>
                <w:szCs w:val="21"/>
              </w:rPr>
              <w:fldChar w:fldCharType="end"/>
            </w: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7</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嘉兴二十一世纪外国语学校（国际学校）</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浙江省嘉兴市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2-4</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陈家玮</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0573-82613777</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国内实习基地(有外国学生)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8</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义乌工商职业技术学院</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浙江省义乌市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4-8</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陈宇鹏</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ascii="微软雅黑" w:hAnsi="微软雅黑" w:eastAsia="微软雅黑" w:cs="微软雅黑"/>
                <w:color w:val="000000" w:themeColor="text1"/>
                <w:sz w:val="18"/>
                <w:szCs w:val="18"/>
              </w:rPr>
              <w:t>0579-83803513</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9</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浙江旅游职业学院</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浙江省杭州市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2-4</w:t>
            </w:r>
          </w:p>
        </w:tc>
        <w:tc>
          <w:tcPr>
            <w:tcW w:w="2130" w:type="dxa"/>
            <w:tcBorders>
              <w:top w:val="single" w:color="auto" w:sz="12" w:space="0"/>
            </w:tcBorders>
            <w:vAlign w:val="center"/>
          </w:tcPr>
          <w:p>
            <w:pPr>
              <w:jc w:val="center"/>
              <w:rPr>
                <w:rFonts w:ascii="仿宋_GB2312" w:hAnsi="Times New Roman" w:eastAsia="仿宋_GB2312" w:cs="Times New Roman"/>
                <w:b/>
                <w:bCs/>
                <w:color w:val="000000" w:themeColor="text1"/>
                <w:kern w:val="0"/>
                <w:sz w:val="24"/>
                <w:szCs w:val="32"/>
              </w:rPr>
            </w:pPr>
            <w:r>
              <w:rPr>
                <w:rFonts w:hint="eastAsia"/>
                <w:color w:val="000000" w:themeColor="text1"/>
                <w:szCs w:val="21"/>
              </w:rPr>
              <w:t>陈丽君</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0571-82838002</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10</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浙江越秀外国语学院</w:t>
            </w:r>
          </w:p>
        </w:tc>
        <w:tc>
          <w:tcPr>
            <w:tcW w:w="18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浙江省绍兴市</w:t>
            </w:r>
          </w:p>
        </w:tc>
        <w:tc>
          <w:tcPr>
            <w:tcW w:w="384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2-4</w:t>
            </w:r>
          </w:p>
        </w:tc>
        <w:tc>
          <w:tcPr>
            <w:tcW w:w="213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朱文斌</w:t>
            </w:r>
          </w:p>
        </w:tc>
        <w:tc>
          <w:tcPr>
            <w:tcW w:w="126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0575-89172457</w:t>
            </w:r>
          </w:p>
        </w:tc>
        <w:tc>
          <w:tcPr>
            <w:tcW w:w="133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color w:val="000000" w:themeColor="text1"/>
                <w:szCs w:val="21"/>
              </w:rPr>
              <w:t>wbzhu2008@126.com</w:t>
            </w: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jc w:val="center"/>
              <w:rPr>
                <w:color w:val="000000" w:themeColor="text1"/>
                <w:szCs w:val="21"/>
              </w:rPr>
            </w:pPr>
            <w:r>
              <w:rPr>
                <w:rFonts w:hint="eastAsia"/>
                <w:color w:val="000000" w:themeColor="text1"/>
                <w:szCs w:val="21"/>
              </w:rPr>
              <w:t>11</w:t>
            </w:r>
          </w:p>
        </w:tc>
        <w:tc>
          <w:tcPr>
            <w:tcW w:w="2190" w:type="dxa"/>
            <w:tcBorders>
              <w:top w:val="single" w:color="auto" w:sz="12" w:space="0"/>
            </w:tcBorders>
            <w:vAlign w:val="center"/>
          </w:tcPr>
          <w:p>
            <w:pPr>
              <w:jc w:val="center"/>
              <w:rPr>
                <w:color w:val="000000" w:themeColor="text1"/>
                <w:szCs w:val="21"/>
              </w:rPr>
            </w:pPr>
            <w:r>
              <w:rPr>
                <w:rFonts w:hint="eastAsia"/>
                <w:color w:val="000000" w:themeColor="text1"/>
                <w:szCs w:val="21"/>
              </w:rPr>
              <w:t>杭州上海世界外国语小学（国际学校）</w:t>
            </w:r>
          </w:p>
        </w:tc>
        <w:tc>
          <w:tcPr>
            <w:tcW w:w="1860" w:type="dxa"/>
            <w:tcBorders>
              <w:top w:val="single" w:color="auto" w:sz="12" w:space="0"/>
            </w:tcBorders>
            <w:vAlign w:val="center"/>
          </w:tcPr>
          <w:p>
            <w:pPr>
              <w:jc w:val="center"/>
              <w:rPr>
                <w:color w:val="000000" w:themeColor="text1"/>
                <w:szCs w:val="21"/>
              </w:rPr>
            </w:pPr>
            <w:r>
              <w:rPr>
                <w:rFonts w:hint="eastAsia"/>
                <w:color w:val="000000" w:themeColor="text1"/>
                <w:szCs w:val="21"/>
              </w:rPr>
              <w:t>浙江省杭州市</w:t>
            </w:r>
          </w:p>
        </w:tc>
        <w:tc>
          <w:tcPr>
            <w:tcW w:w="3840" w:type="dxa"/>
            <w:tcBorders>
              <w:top w:val="single" w:color="auto" w:sz="12" w:space="0"/>
            </w:tcBorders>
            <w:vAlign w:val="center"/>
          </w:tcPr>
          <w:p>
            <w:pPr>
              <w:jc w:val="center"/>
              <w:rPr>
                <w:color w:val="000000" w:themeColor="text1"/>
                <w:szCs w:val="21"/>
              </w:rPr>
            </w:pPr>
            <w:r>
              <w:rPr>
                <w:rFonts w:hint="eastAsia"/>
                <w:color w:val="000000" w:themeColor="text1"/>
                <w:szCs w:val="21"/>
              </w:rPr>
              <w:t>2-4</w:t>
            </w:r>
          </w:p>
        </w:tc>
        <w:tc>
          <w:tcPr>
            <w:tcW w:w="2130" w:type="dxa"/>
            <w:tcBorders>
              <w:top w:val="single" w:color="auto" w:sz="12" w:space="0"/>
            </w:tcBorders>
            <w:vAlign w:val="center"/>
          </w:tcPr>
          <w:p>
            <w:pPr>
              <w:jc w:val="center"/>
              <w:rPr>
                <w:color w:val="000000" w:themeColor="text1"/>
                <w:szCs w:val="21"/>
              </w:rPr>
            </w:pPr>
            <w:r>
              <w:rPr>
                <w:rFonts w:hint="eastAsia"/>
                <w:color w:val="000000" w:themeColor="text1"/>
                <w:szCs w:val="21"/>
              </w:rPr>
              <w:t>陈民仙</w:t>
            </w:r>
          </w:p>
        </w:tc>
        <w:tc>
          <w:tcPr>
            <w:tcW w:w="1260" w:type="dxa"/>
            <w:tcBorders>
              <w:top w:val="single" w:color="auto" w:sz="12" w:space="0"/>
            </w:tcBorders>
            <w:vAlign w:val="center"/>
          </w:tcPr>
          <w:p>
            <w:pPr>
              <w:jc w:val="center"/>
              <w:rPr>
                <w:color w:val="000000" w:themeColor="text1"/>
                <w:szCs w:val="21"/>
              </w:rPr>
            </w:pPr>
            <w:r>
              <w:rPr>
                <w:color w:val="000000" w:themeColor="text1"/>
                <w:szCs w:val="21"/>
              </w:rPr>
              <w:t>0571-89981586</w:t>
            </w:r>
          </w:p>
        </w:tc>
        <w:tc>
          <w:tcPr>
            <w:tcW w:w="1335" w:type="dxa"/>
            <w:tcBorders>
              <w:top w:val="single" w:color="auto" w:sz="12" w:space="0"/>
            </w:tcBorders>
            <w:vAlign w:val="center"/>
          </w:tcPr>
          <w:p>
            <w:pPr>
              <w:jc w:val="center"/>
              <w:rPr>
                <w:color w:val="000000" w:themeColor="text1"/>
                <w:szCs w:val="21"/>
              </w:rPr>
            </w:pP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国内实习基地（有外国学生）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jc w:val="center"/>
              <w:rPr>
                <w:color w:val="000000" w:themeColor="text1"/>
                <w:szCs w:val="21"/>
              </w:rPr>
            </w:pPr>
            <w:r>
              <w:rPr>
                <w:rFonts w:hint="eastAsia"/>
                <w:color w:val="000000" w:themeColor="text1"/>
                <w:szCs w:val="21"/>
              </w:rPr>
              <w:t>12</w:t>
            </w:r>
          </w:p>
        </w:tc>
        <w:tc>
          <w:tcPr>
            <w:tcW w:w="2190" w:type="dxa"/>
            <w:tcBorders>
              <w:top w:val="single" w:color="auto" w:sz="12" w:space="0"/>
            </w:tcBorders>
            <w:vAlign w:val="center"/>
          </w:tcPr>
          <w:p>
            <w:pPr>
              <w:jc w:val="center"/>
              <w:rPr>
                <w:color w:val="000000" w:themeColor="text1"/>
                <w:szCs w:val="21"/>
              </w:rPr>
            </w:pPr>
            <w:r>
              <w:rPr>
                <w:rFonts w:hint="eastAsia"/>
                <w:color w:val="000000" w:themeColor="text1"/>
                <w:szCs w:val="21"/>
              </w:rPr>
              <w:t>浙江科技学院</w:t>
            </w:r>
          </w:p>
        </w:tc>
        <w:tc>
          <w:tcPr>
            <w:tcW w:w="1860" w:type="dxa"/>
            <w:tcBorders>
              <w:top w:val="single" w:color="auto" w:sz="12" w:space="0"/>
            </w:tcBorders>
            <w:vAlign w:val="center"/>
          </w:tcPr>
          <w:p>
            <w:pPr>
              <w:jc w:val="center"/>
              <w:rPr>
                <w:color w:val="000000" w:themeColor="text1"/>
                <w:szCs w:val="21"/>
              </w:rPr>
            </w:pPr>
            <w:r>
              <w:rPr>
                <w:rFonts w:hint="eastAsia"/>
                <w:color w:val="000000" w:themeColor="text1"/>
                <w:szCs w:val="21"/>
              </w:rPr>
              <w:t>浙江省杭州市</w:t>
            </w:r>
          </w:p>
        </w:tc>
        <w:tc>
          <w:tcPr>
            <w:tcW w:w="3840" w:type="dxa"/>
            <w:tcBorders>
              <w:top w:val="single" w:color="auto" w:sz="12" w:space="0"/>
            </w:tcBorders>
            <w:vAlign w:val="center"/>
          </w:tcPr>
          <w:p>
            <w:pPr>
              <w:jc w:val="center"/>
              <w:rPr>
                <w:color w:val="000000" w:themeColor="text1"/>
                <w:szCs w:val="21"/>
              </w:rPr>
            </w:pPr>
            <w:r>
              <w:rPr>
                <w:rFonts w:hint="eastAsia"/>
                <w:color w:val="000000" w:themeColor="text1"/>
                <w:szCs w:val="21"/>
              </w:rPr>
              <w:t>4-10</w:t>
            </w:r>
          </w:p>
        </w:tc>
        <w:tc>
          <w:tcPr>
            <w:tcW w:w="2130" w:type="dxa"/>
            <w:tcBorders>
              <w:top w:val="single" w:color="auto" w:sz="12" w:space="0"/>
            </w:tcBorders>
            <w:vAlign w:val="center"/>
          </w:tcPr>
          <w:p>
            <w:pPr>
              <w:jc w:val="center"/>
              <w:rPr>
                <w:color w:val="000000" w:themeColor="text1"/>
                <w:szCs w:val="21"/>
              </w:rPr>
            </w:pPr>
            <w:r>
              <w:rPr>
                <w:rFonts w:hint="eastAsia"/>
                <w:color w:val="000000" w:themeColor="text1"/>
                <w:szCs w:val="21"/>
              </w:rPr>
              <w:t>金素芳</w:t>
            </w:r>
          </w:p>
        </w:tc>
        <w:tc>
          <w:tcPr>
            <w:tcW w:w="1260" w:type="dxa"/>
            <w:tcBorders>
              <w:top w:val="single" w:color="auto" w:sz="12" w:space="0"/>
            </w:tcBorders>
            <w:vAlign w:val="center"/>
          </w:tcPr>
          <w:p>
            <w:pPr>
              <w:jc w:val="center"/>
              <w:rPr>
                <w:color w:val="000000" w:themeColor="text1"/>
                <w:szCs w:val="21"/>
              </w:rPr>
            </w:pPr>
            <w:r>
              <w:rPr>
                <w:rFonts w:hint="eastAsia"/>
                <w:color w:val="000000" w:themeColor="text1"/>
                <w:szCs w:val="21"/>
              </w:rPr>
              <w:t>0571-85070638</w:t>
            </w:r>
          </w:p>
        </w:tc>
        <w:tc>
          <w:tcPr>
            <w:tcW w:w="1335" w:type="dxa"/>
            <w:tcBorders>
              <w:top w:val="single" w:color="auto" w:sz="12" w:space="0"/>
            </w:tcBorders>
            <w:vAlign w:val="center"/>
          </w:tcPr>
          <w:p>
            <w:pPr>
              <w:jc w:val="center"/>
              <w:rPr>
                <w:color w:val="000000" w:themeColor="text1"/>
                <w:szCs w:val="21"/>
              </w:rPr>
            </w:pPr>
            <w:r>
              <w:rPr>
                <w:rFonts w:hint="eastAsia"/>
                <w:color w:val="000000" w:themeColor="text1"/>
                <w:szCs w:val="21"/>
              </w:rPr>
              <w:t>102008@zust.edu.cn</w:t>
            </w:r>
          </w:p>
        </w:tc>
        <w:tc>
          <w:tcPr>
            <w:tcW w:w="1107" w:type="dxa"/>
            <w:tcBorders>
              <w:top w:val="single" w:color="auto" w:sz="12" w:space="0"/>
            </w:tcBorders>
          </w:tcPr>
          <w:p>
            <w:pPr>
              <w:jc w:val="center"/>
              <w:rPr>
                <w:color w:val="000000" w:themeColor="text1"/>
                <w:szCs w:val="21"/>
              </w:rPr>
            </w:pPr>
            <w:r>
              <w:rPr>
                <w:rFonts w:hint="eastAsia"/>
                <w:color w:val="000000" w:themeColor="text1"/>
                <w:szCs w:val="21"/>
              </w:rPr>
              <w:t>国内实习基地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4801" w:type="dxa"/>
            <w:gridSpan w:val="8"/>
            <w:tcBorders>
              <w:top w:val="single" w:color="auto" w:sz="12" w:space="0"/>
              <w:bottom w:val="single" w:color="auto" w:sz="12" w:space="0"/>
            </w:tcBorders>
            <w:vAlign w:val="center"/>
          </w:tcPr>
          <w:p>
            <w:pPr>
              <w:spacing w:line="320" w:lineRule="exac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Ⅱ-2-2国内外实习基地和实习学生名单汇总表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2190"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学生姓名</w:t>
            </w:r>
          </w:p>
        </w:tc>
        <w:tc>
          <w:tcPr>
            <w:tcW w:w="1860" w:type="dxa"/>
            <w:tcBorders>
              <w:top w:val="single" w:color="auto" w:sz="12" w:space="0"/>
            </w:tcBorders>
            <w:vAlign w:val="center"/>
          </w:tcPr>
          <w:p>
            <w:pPr>
              <w:tabs>
                <w:tab w:val="left" w:pos="975"/>
              </w:tabs>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实习时间</w:t>
            </w:r>
          </w:p>
        </w:tc>
        <w:tc>
          <w:tcPr>
            <w:tcW w:w="3840"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实习基地名称</w:t>
            </w:r>
          </w:p>
        </w:tc>
        <w:tc>
          <w:tcPr>
            <w:tcW w:w="2130" w:type="dxa"/>
            <w:tcBorders>
              <w:top w:val="single" w:color="auto" w:sz="12" w:space="0"/>
            </w:tcBorders>
            <w:vAlign w:val="center"/>
          </w:tcPr>
          <w:p>
            <w:pPr>
              <w:adjustRightInd w:val="0"/>
              <w:snapToGrid w:val="0"/>
              <w:jc w:val="center"/>
              <w:textAlignment w:val="baseline"/>
              <w:rPr>
                <w:rFonts w:ascii="仿宋_GB2312" w:hAnsi="Calibri" w:eastAsia="仿宋_GB2312" w:cs="黑体"/>
                <w:b/>
                <w:bCs/>
                <w:color w:val="000000" w:themeColor="text1"/>
                <w:sz w:val="24"/>
                <w:szCs w:val="32"/>
              </w:rPr>
            </w:pPr>
            <w:r>
              <w:rPr>
                <w:rFonts w:hint="eastAsia" w:ascii="仿宋_GB2312" w:hAnsi="Times New Roman" w:eastAsia="仿宋_GB2312" w:cs="Times New Roman"/>
                <w:b/>
                <w:bCs/>
                <w:color w:val="000000" w:themeColor="text1"/>
                <w:kern w:val="0"/>
                <w:sz w:val="24"/>
                <w:szCs w:val="32"/>
              </w:rPr>
              <w:t>所在国家</w:t>
            </w:r>
          </w:p>
        </w:tc>
        <w:tc>
          <w:tcPr>
            <w:tcW w:w="3702" w:type="dxa"/>
            <w:gridSpan w:val="3"/>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实习指导教师姓名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刘天捷</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布加勒斯特大学孔子学院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董京波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白湛钰</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浙江越秀外国语学院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王慧开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侯晓岚</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朱玉芬</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王庆玲</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李惠红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王庆玲</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上海交通大学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郑伟丽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张娜</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张娜</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罗马尼亚克鲁日巴比什 波雅依大学孔子学院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樊华</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袁薛鹰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潘益青</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浙江越秀外国语学院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潘禾婴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赖潇芳</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江坤</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马来亚大学孔子学院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马来西亚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茹彦龙</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印尼玛拉拿达基督教大学孔子学院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阎浩然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14</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张青云</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15</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王晨蕾</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柬埔寨王家研究院孔子学院吴哥高中孔子课堂</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柬埔寨</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16</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绪梦莹</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罗马尼亚克鲁日巴比什 波雅依大学孔子学院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17</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蒋卉</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罗勇皇太后中学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P kik</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18</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蒋卉</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19</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王杰于</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王杰于</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21</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马思敏</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印度尼西亚雅加达培民国际学校</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张雅芳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22</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王嫱</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北京大学深圳研究生院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朱紫滢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23</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周珊</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浙江越秀外国语学院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孙永红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24</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杨新红</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25</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孙宏茂</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26</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王旭</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27</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崔赛凤</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2017.5-2017.7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历力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28</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余优留</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网易有限公司</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金贝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29</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俞洋</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阮蓓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30</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邱峥艳</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31</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郑新跃</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阮蓓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32</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郑新跃</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冉晓丽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33</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王晨露</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34</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王晨露</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吴燕萍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35</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聂慧先</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36</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王津</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克卢日巴比什·波雅依大学孔子学院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37</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陈杰</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2016.9-2017.3</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WAT Chaklukya小学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nachat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38</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陈杰</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2017.5-2017.7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贾晓蕾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39</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李雨霖</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泰国华侨崇圣大学</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田野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40</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李雨霖</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王赛君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41</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倪永峰</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2016.9-2017.7</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德国埃尔福特应用科技大学孔子学院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德国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贾峰昌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42</w:t>
            </w:r>
          </w:p>
        </w:tc>
        <w:tc>
          <w:tcPr>
            <w:tcW w:w="219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李婉屏</w:t>
            </w:r>
          </w:p>
        </w:tc>
        <w:tc>
          <w:tcPr>
            <w:tcW w:w="186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2017.9-2018.1</w:t>
            </w:r>
          </w:p>
        </w:tc>
        <w:tc>
          <w:tcPr>
            <w:tcW w:w="384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李婉屏</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2018.2-2018.6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王佩佩</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高婷婷</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高婷婷</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2018.2-2018.6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徐臻</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应玮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陈思南</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49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韩静</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胡小英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余茂龙</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施麒麟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余茂龙</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席赫灿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汤蕴新</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陈海芳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汤蕴新</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拉脱维亚里加理工大学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拉脱维亚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王建华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赵士玉</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赵士玉</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2018.2-2018.6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谭小慧</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冯少中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许骞</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2017.6-2017.8</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哥伦比亚大学与北京大学汉语暑期项目</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哥伦比亚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闫玲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许骞</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阮蓓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59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许骞</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2018.2-2018.12</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澳大利亚塔斯马尼亚中小学志愿者</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澳大利亚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Hingor Chung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高贝贝</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李蓄斌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史健</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李蓄斌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陶诗洁</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陈柔安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高宇</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李蓄斌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盛丽娜</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席赫灿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盛新月</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李蓄斌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郑亚兵</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2017.7-2017.9</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席赫灿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郑亚兵</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王赛君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梁美美</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李蓄斌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69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闫宇娟</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2018.3-2018.7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李卢艳</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2018.1-2018.11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 xml:space="preserve">印尼巴淡启新学校 </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印度尼西亚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郑正强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郝梦姣</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戎雪云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姜慧敏</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戎雪云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吴琼</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褚珊珊</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陈慧慧</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顾梦苏</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徐晓路</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李琤</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79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张东</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刘田恬</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那才佳</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罗马尼亚克鲁日孔子学院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夏俊锁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裴淑雅</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贾晓蕾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张军</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 xml:space="preserve">卢佳玲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贾春竹</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冉晓丽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朱浩</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浙江越秀外国语</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张春明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李淑楠</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高泽明</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王惠莲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叶青</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泰国实习基地</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吴圣才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89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叶青</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2018.3-2018.7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周子群</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泰国实习基地</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黄慧华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常安琪</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2017.7-2018.3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泰国实习基地</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陈兰英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常安琪</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2018.3-2018.7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颜艳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杜娟</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2017.3-2018.1</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澳大利亚</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澳大利亚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李正爱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杜娟</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2018.3-2018.7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包晨颖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巨浩然</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2017.9-2018.9</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北京欧美思教育</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程家杰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张瑞坤</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2017.9-2018.7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浙江越秀外国语学院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王佳平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吴雅萍</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加纳利斯拉斯帕尔马斯大学孔子学院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西班牙</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周毅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汪诗瑶</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杨同用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99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韩田雨</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王彦章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郭正纪</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克鲁日巴比什-波雅依大学孔子学院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叶晗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关莹</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朱奥雪</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施麟麒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张碧琦</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胡云晚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蒙小玲</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李梦宇</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2018.9-2018.9</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布加勒斯特大学孔子学院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杨同用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吴越</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王建华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李敏</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2018.6-2019.5</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泰国汉语教师志愿者</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叶晗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洪闯</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王建华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109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刘骞</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于云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袁轩</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周毅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门丁宁</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美国明德大学杭州项目</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姜丁毓</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俞燕君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王晓转</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2018.5-2019.3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泰国曼谷吉拉达学校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叶晗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赵礼淑贤</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东华大学</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赵翠阳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张盛</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陈雪芬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范振东</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2018.4-2018.12</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比拉邦国际学校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马尔代夫</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杨同用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沈一帆</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陶绍清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刘佳敏</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胡云晚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119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魏巍</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赵翠阳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应凌芝</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美国明德大学杭州分校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程永艳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胡长红</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2018.6-2019.4</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泰国实习基地</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凌喆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陈亚晶</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赵卫东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黄念</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胡云晚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吴志峰</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税昌锡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孙晓硕</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倪开</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俞燕君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127</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许依莹</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2018.7-2019.6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八华学校</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印尼</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128</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刘洋</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泰国志愿者</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陈雪芬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129</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谢颖</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泰国志愿者</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130</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吴夏梦</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2018.6-2019.3</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泰国志愿者</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周毅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131</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韩艺</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2018.6-2019.4</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学校泰国合作项目</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税昌锡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132</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杨晓蕾</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2018.9-2019.9</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埃尔福特应用科技大学孔子学院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德国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翁震华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133</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张文秀</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2018.6-2019.4</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学校泰国合作项目</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泰国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赵卫东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134</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王康宁</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克鲁日巴比什波雅依大学孔子学院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罗马尼亚</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李华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135</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王雪苑</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2018.9-2019.6</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义乌工商职业技术学院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陶绍清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79"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136</w:t>
            </w:r>
          </w:p>
        </w:tc>
        <w:tc>
          <w:tcPr>
            <w:tcW w:w="219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邓清艳</w:t>
            </w:r>
          </w:p>
        </w:tc>
        <w:tc>
          <w:tcPr>
            <w:tcW w:w="186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2018.9-2019.7</w:t>
            </w:r>
          </w:p>
        </w:tc>
        <w:tc>
          <w:tcPr>
            <w:tcW w:w="384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浙江科技学院理学院</w:t>
            </w:r>
          </w:p>
        </w:tc>
        <w:tc>
          <w:tcPr>
            <w:tcW w:w="2130" w:type="dxa"/>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中国</w:t>
            </w:r>
          </w:p>
        </w:tc>
        <w:tc>
          <w:tcPr>
            <w:tcW w:w="3702" w:type="dxa"/>
            <w:gridSpan w:val="3"/>
            <w:tcBorders>
              <w:top w:val="single" w:color="auto" w:sz="12" w:space="0"/>
              <w:bottom w:val="single" w:color="auto" w:sz="12" w:space="0"/>
            </w:tcBorders>
            <w:vAlign w:val="center"/>
          </w:tcPr>
          <w:p>
            <w:pPr>
              <w:widowControl/>
              <w:jc w:val="center"/>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陶祥兴</w:t>
            </w:r>
          </w:p>
        </w:tc>
      </w:tr>
    </w:tbl>
    <w:p>
      <w:pPr>
        <w:adjustRightInd w:val="0"/>
        <w:snapToGrid w:val="0"/>
        <w:rPr>
          <w:rFonts w:ascii="仿宋_GB2312" w:hAnsi="Calibri" w:eastAsia="仿宋_GB2312" w:cs="仿宋"/>
          <w:color w:val="000000" w:themeColor="text1"/>
          <w:sz w:val="32"/>
          <w:szCs w:val="32"/>
        </w:rPr>
      </w:pPr>
    </w:p>
    <w:p>
      <w:pPr>
        <w:adjustRightInd w:val="0"/>
        <w:snapToGrid w:val="0"/>
        <w:rPr>
          <w:rFonts w:ascii="仿宋_GB2312" w:hAnsi="Calibri" w:eastAsia="仿宋_GB2312" w:cs="仿宋"/>
          <w:color w:val="000000" w:themeColor="text1"/>
          <w:sz w:val="32"/>
          <w:szCs w:val="32"/>
        </w:rPr>
      </w:pPr>
    </w:p>
    <w:p>
      <w:pPr>
        <w:adjustRightInd w:val="0"/>
        <w:snapToGrid w:val="0"/>
        <w:rPr>
          <w:rFonts w:ascii="仿宋_GB2312" w:hAnsi="Calibri" w:eastAsia="仿宋_GB2312" w:cs="仿宋"/>
          <w:color w:val="000000" w:themeColor="text1"/>
          <w:sz w:val="32"/>
          <w:szCs w:val="32"/>
        </w:rPr>
      </w:pPr>
    </w:p>
    <w:p>
      <w:pPr>
        <w:adjustRightInd w:val="0"/>
        <w:snapToGrid w:val="0"/>
        <w:rPr>
          <w:rFonts w:ascii="仿宋_GB2312" w:hAnsi="Calibri" w:eastAsia="仿宋_GB2312" w:cs="仿宋"/>
          <w:color w:val="000000" w:themeColor="text1"/>
          <w:sz w:val="32"/>
          <w:szCs w:val="32"/>
        </w:rPr>
      </w:pPr>
    </w:p>
    <w:tbl>
      <w:tblPr>
        <w:tblStyle w:val="30"/>
        <w:tblW w:w="14809" w:type="dxa"/>
        <w:jc w:val="center"/>
        <w:tblInd w:w="2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5244"/>
        <w:gridCol w:w="2268"/>
        <w:gridCol w:w="1970"/>
        <w:gridCol w:w="15"/>
        <w:gridCol w:w="2033"/>
        <w:gridCol w:w="2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09" w:type="dxa"/>
            <w:gridSpan w:val="7"/>
            <w:tcBorders>
              <w:top w:val="single" w:color="auto" w:sz="12" w:space="0"/>
              <w:bottom w:val="single" w:color="auto" w:sz="12" w:space="0"/>
            </w:tcBorders>
            <w:vAlign w:val="center"/>
          </w:tcPr>
          <w:p>
            <w:pPr>
              <w:spacing w:line="320" w:lineRule="exact"/>
              <w:rPr>
                <w:rFonts w:ascii="仿宋_GB2312" w:hAnsi="Calibri" w:eastAsia="仿宋_GB2312" w:cs="黑体"/>
                <w:b/>
                <w:color w:val="000000" w:themeColor="text1"/>
                <w:sz w:val="32"/>
                <w:szCs w:val="32"/>
              </w:rPr>
            </w:pPr>
            <w:r>
              <w:rPr>
                <w:rFonts w:hint="eastAsia" w:ascii="仿宋_GB2312" w:hAnsi="黑体" w:eastAsia="仿宋_GB2312" w:cs="黑体"/>
                <w:b/>
                <w:bCs/>
                <w:color w:val="000000" w:themeColor="text1"/>
                <w:sz w:val="32"/>
                <w:szCs w:val="32"/>
              </w:rPr>
              <w:t>Ⅱ-3举办汉语国际教育相关讲座情况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524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讲座名称</w:t>
            </w:r>
          </w:p>
        </w:tc>
        <w:tc>
          <w:tcPr>
            <w:tcW w:w="2268"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专家姓名</w:t>
            </w:r>
          </w:p>
        </w:tc>
        <w:tc>
          <w:tcPr>
            <w:tcW w:w="1970"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学期</w:t>
            </w:r>
          </w:p>
        </w:tc>
        <w:tc>
          <w:tcPr>
            <w:tcW w:w="4232"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w:t>
            </w:r>
          </w:p>
        </w:tc>
        <w:tc>
          <w:tcPr>
            <w:tcW w:w="5244" w:type="dxa"/>
            <w:tcBorders>
              <w:top w:val="single" w:color="auto" w:sz="12" w:space="0"/>
              <w:bottom w:val="single" w:color="auto" w:sz="12" w:space="0"/>
            </w:tcBorders>
          </w:tcPr>
          <w:p>
            <w:pPr>
              <w:widowControl/>
              <w:jc w:val="center"/>
              <w:textAlignment w:val="top"/>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基础与技能：教学理论简介及课堂教学基本方法</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朱永平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理论与实践：当代教学法理论与汉语教学</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储诚志</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传承与发展：汉语教学的传统与创新</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周质平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4</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美国中小学汉语教学与师资认证</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顾利程</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5</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国际汉语教育视野下的汉字教学问题</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杨亦鸣</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6</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全身反应法在汉语教学中的应用</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张黎</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7</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汉语教材发展简况</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黄建滨</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8</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传教士汉语教材研究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黄建滨</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9</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老舍与海外汉语教学</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黄建滨</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10</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教师研究与教师专业发展</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孙德坤</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11</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第二语言教学面面观</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孙德坤</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12</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第二语言教学中的质性研究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孙德坤</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13</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Style w:val="49"/>
                <w:rFonts w:hint="default" w:asciiTheme="minorEastAsia" w:hAnsiTheme="minorEastAsia" w:eastAsiaTheme="minorEastAsia" w:cstheme="minorEastAsia"/>
                <w:color w:val="000000" w:themeColor="text1"/>
              </w:rPr>
              <w:t>观念对语言教学的影响</w:t>
            </w:r>
            <w:r>
              <w:rPr>
                <w:rStyle w:val="50"/>
                <w:rFonts w:hint="eastAsia" w:asciiTheme="minorEastAsia" w:hAnsiTheme="minorEastAsia" w:cstheme="minorEastAsia"/>
                <w:color w:val="000000" w:themeColor="text1"/>
              </w:rPr>
              <w:t>——</w:t>
            </w:r>
            <w:r>
              <w:rPr>
                <w:rStyle w:val="49"/>
                <w:rFonts w:hint="default" w:asciiTheme="minorEastAsia" w:hAnsiTheme="minorEastAsia" w:eastAsiaTheme="minorEastAsia" w:cstheme="minorEastAsia"/>
                <w:color w:val="000000" w:themeColor="text1"/>
              </w:rPr>
              <w:t>个案分析</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孙德坤</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14</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对外汉语教学中的体会和思考</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李安东</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15</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韵律语法的教学与研究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冯胜利</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16</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语体语法的教学与研究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冯胜利</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17</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《三一语法》的原理和操作</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冯胜利</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18</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汉语作为二语之语法及其教学</w:t>
            </w:r>
            <w:r>
              <w:rPr>
                <w:rStyle w:val="51"/>
                <w:rFonts w:hint="eastAsia" w:asciiTheme="minorEastAsia" w:hAnsiTheme="minorEastAsia" w:cstheme="minorEastAsia"/>
                <w:color w:val="000000" w:themeColor="text1"/>
              </w:rPr>
              <w:t xml:space="preserve"> </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刘乐宁</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19</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二语习得理论的检讨与应用</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刘乐宁</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20</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《中文助教》软件的设计应用与教材编写的效率提升和质量控制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储诚志</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21</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国际汉语教育中文化教学的目标定位与内容选择</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储诚志</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2015-2016（2）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22</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从课堂考评标准看西方国家对外语教师教学技能的期待</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刘乐宁</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23</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从教师教学能力的评估看中美汉语教师资格证书的对接</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谭捍卫</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24</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国际汉语教师在跨文化交际中的文化立场</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梁霞</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25</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国际汉语课程的教学原则与教学技巧（含教学示范）</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梁霞</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26</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汉语教学与教材的语言和文化框架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朱永平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27</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低年级汉语教学中的文化要素</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朱永平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28</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高年级汉语教学中的文化要素</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朱永平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29</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多媒体带动高年级汉语教学中的协作学习示例</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梁新欣</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30</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美国汉语教学的困境与远景</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周质平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31</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汉字与汉语教学</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周质平</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32</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语法教学暨对外汉语教学语法研究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黄南松</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33</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美国外语教师协会如何进行标准化口语测试</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黄南松</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2016-2017（2）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34</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国际汉语教师的学术自觉</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崔希亮</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35</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新时代中国语言文化在“一带一路”上的传播：实践与思考</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王辉</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36</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语义演变与词汇演变</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吴福祥</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2017-2018（1）</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37</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美国就业汉教硕士成长历程的叙事比较研究</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吴应辉</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38</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汉语语法研究漫谈</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邵敬敏</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39</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问题导向与论文写作</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周小兵</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40</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试谈语文词典的收词、释义与配例</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江蓝生</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sz w:val="22"/>
              </w:rPr>
              <w:t>41</w:t>
            </w:r>
          </w:p>
        </w:tc>
        <w:tc>
          <w:tcPr>
            <w:tcW w:w="5244"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词义结构与词义发展的影响——兼谈并合词的理解与教学问题</w:t>
            </w:r>
          </w:p>
        </w:tc>
        <w:tc>
          <w:tcPr>
            <w:tcW w:w="2268" w:type="dxa"/>
            <w:tcBorders>
              <w:top w:val="single" w:color="auto" w:sz="12" w:space="0"/>
              <w:bottom w:val="single" w:color="auto" w:sz="12" w:space="0"/>
            </w:tcBorders>
            <w:vAlign w:val="center"/>
          </w:tcPr>
          <w:p>
            <w:pPr>
              <w:widowControl/>
              <w:jc w:val="center"/>
              <w:textAlignment w:val="center"/>
              <w:rPr>
                <w:rFonts w:ascii="仿宋_GB2312" w:hAnsi="Times New Roman" w:eastAsia="仿宋_GB2312" w:cs="Times New Roman"/>
                <w:b/>
                <w:bCs/>
                <w:color w:val="000000" w:themeColor="text1"/>
                <w:kern w:val="0"/>
                <w:sz w:val="32"/>
                <w:szCs w:val="32"/>
              </w:rPr>
            </w:pPr>
            <w:r>
              <w:rPr>
                <w:rFonts w:hint="eastAsia" w:asciiTheme="minorEastAsia" w:hAnsiTheme="minorEastAsia" w:cstheme="minorEastAsia"/>
                <w:color w:val="000000" w:themeColor="text1"/>
                <w:kern w:val="0"/>
                <w:sz w:val="22"/>
              </w:rPr>
              <w:t>张博</w:t>
            </w:r>
          </w:p>
        </w:tc>
        <w:tc>
          <w:tcPr>
            <w:tcW w:w="1970" w:type="dxa"/>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r>
              <w:rPr>
                <w:rFonts w:hint="eastAsia" w:ascii="宋体" w:hAnsi="Times New Roman" w:cs="Times New Roman"/>
                <w:color w:val="000000" w:themeColor="text1"/>
                <w:kern w:val="0"/>
                <w:sz w:val="22"/>
              </w:rPr>
              <w:t>2017-2018（2）</w:t>
            </w:r>
          </w:p>
        </w:tc>
        <w:tc>
          <w:tcPr>
            <w:tcW w:w="4232" w:type="dxa"/>
            <w:gridSpan w:val="3"/>
            <w:tcBorders>
              <w:top w:val="single" w:color="auto" w:sz="12" w:space="0"/>
              <w:bottom w:val="single" w:color="auto" w:sz="12" w:space="0"/>
            </w:tcBorders>
            <w:vAlign w:val="center"/>
          </w:tcPr>
          <w:p>
            <w:pPr>
              <w:jc w:val="left"/>
              <w:rPr>
                <w:rFonts w:ascii="仿宋_GB2312" w:hAnsi="Times New Roman" w:eastAsia="仿宋_GB2312" w:cs="Times New Roman"/>
                <w:b/>
                <w:bCs/>
                <w:color w:val="000000" w:themeColor="text1"/>
                <w:kern w:val="0"/>
                <w:sz w:val="32"/>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09" w:type="dxa"/>
            <w:gridSpan w:val="7"/>
            <w:tcBorders>
              <w:top w:val="single" w:color="auto" w:sz="12" w:space="0"/>
              <w:bottom w:val="single" w:color="auto" w:sz="12" w:space="0"/>
            </w:tcBorders>
            <w:vAlign w:val="center"/>
          </w:tcPr>
          <w:p>
            <w:pPr>
              <w:spacing w:line="320" w:lineRule="exact"/>
              <w:rPr>
                <w:rFonts w:ascii="仿宋_GB2312" w:hAnsi="Times New Roman" w:eastAsia="仿宋_GB2312" w:cs="Times New Roman"/>
                <w:b/>
                <w:bCs/>
                <w:color w:val="000000" w:themeColor="text1"/>
                <w:kern w:val="0"/>
                <w:sz w:val="32"/>
                <w:szCs w:val="32"/>
              </w:rPr>
            </w:pPr>
            <w:r>
              <w:rPr>
                <w:rFonts w:hint="eastAsia" w:ascii="仿宋_GB2312" w:hAnsi="黑体" w:eastAsia="仿宋_GB2312" w:cs="黑体"/>
                <w:b/>
                <w:bCs/>
                <w:color w:val="000000" w:themeColor="text1"/>
                <w:sz w:val="32"/>
                <w:szCs w:val="32"/>
              </w:rPr>
              <w:t>Ⅱ-4学生参加汉语国际教育学术会议情况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524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会议名称</w:t>
            </w:r>
          </w:p>
        </w:tc>
        <w:tc>
          <w:tcPr>
            <w:tcW w:w="2268"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主办单位</w:t>
            </w:r>
          </w:p>
        </w:tc>
        <w:tc>
          <w:tcPr>
            <w:tcW w:w="1985"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会议时间</w:t>
            </w:r>
          </w:p>
        </w:tc>
        <w:tc>
          <w:tcPr>
            <w:tcW w:w="2033"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参加人数</w:t>
            </w:r>
          </w:p>
        </w:tc>
        <w:tc>
          <w:tcPr>
            <w:tcW w:w="218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报告人数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第二届汉语跨文化传播国际研讨会</w:t>
            </w:r>
          </w:p>
        </w:tc>
        <w:tc>
          <w:tcPr>
            <w:tcW w:w="2268"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复旦大学国际文化交流学院</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2016.12.9-12.11</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第二届政务新媒体高峰论坛</w:t>
            </w:r>
          </w:p>
        </w:tc>
        <w:tc>
          <w:tcPr>
            <w:tcW w:w="2268"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政务新媒体研究院</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2017.5.6</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12</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3</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第十四届国际汉语教学学术研讨会</w:t>
            </w:r>
          </w:p>
        </w:tc>
        <w:tc>
          <w:tcPr>
            <w:tcW w:w="2268"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澳门大学</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2017.6.16-6.18</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sz w:val="22"/>
              </w:rPr>
              <w:t>4</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第十四届对外汉语国际学术研讨会</w:t>
            </w:r>
          </w:p>
        </w:tc>
        <w:tc>
          <w:tcPr>
            <w:tcW w:w="2268"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山东师范大学国际教育学院与教育部人文社会科学重点研究基地北京语言大学对外汉语研究中心、新西兰梅西大学人文学院</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2017.10.14-10.15</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5</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上海市社会科学界2017年学术年会暨第一届国家话语生态研究高峰论坛</w:t>
            </w:r>
          </w:p>
        </w:tc>
        <w:tc>
          <w:tcPr>
            <w:tcW w:w="2268" w:type="dxa"/>
            <w:tcBorders>
              <w:top w:val="single" w:color="auto" w:sz="12" w:space="0"/>
              <w:bottom w:val="single" w:color="auto" w:sz="12" w:space="0"/>
            </w:tcBorders>
            <w:vAlign w:val="center"/>
          </w:tcPr>
          <w:p>
            <w:pPr>
              <w:widowControl/>
              <w:jc w:val="left"/>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上海市社会科学界联合会</w:t>
            </w:r>
          </w:p>
          <w:p>
            <w:pPr>
              <w:widowControl/>
              <w:jc w:val="left"/>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上海市语文学会</w:t>
            </w:r>
          </w:p>
          <w:p>
            <w:pPr>
              <w:widowControl/>
              <w:jc w:val="left"/>
              <w:textAlignment w:val="center"/>
              <w:rPr>
                <w:rFonts w:asciiTheme="minorEastAsia" w:hAnsiTheme="minorEastAsia" w:cstheme="minorEastAsia"/>
                <w:color w:val="000000" w:themeColor="text1"/>
                <w:kern w:val="0"/>
                <w:sz w:val="22"/>
              </w:rPr>
            </w:pPr>
            <w:r>
              <w:rPr>
                <w:rFonts w:hint="eastAsia" w:asciiTheme="minorEastAsia" w:hAnsiTheme="minorEastAsia" w:cstheme="minorEastAsia"/>
                <w:color w:val="000000" w:themeColor="text1"/>
                <w:kern w:val="0"/>
                <w:sz w:val="22"/>
              </w:rPr>
              <w:t>《华东师范大学学报（哲社版）》社会科学报 华东师范大学国家话语生态研究中心</w:t>
            </w:r>
          </w:p>
          <w:p>
            <w:pPr>
              <w:widowControl/>
              <w:jc w:val="left"/>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中国修辞协会</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2017.10</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218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6</w:t>
            </w:r>
          </w:p>
        </w:tc>
        <w:tc>
          <w:tcPr>
            <w:tcW w:w="524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中国修辞协会2017年学术年会</w:t>
            </w:r>
          </w:p>
        </w:tc>
        <w:tc>
          <w:tcPr>
            <w:tcW w:w="2268" w:type="dxa"/>
            <w:tcBorders>
              <w:top w:val="single" w:color="auto" w:sz="12" w:space="0"/>
              <w:bottom w:val="single" w:color="auto" w:sz="12" w:space="0"/>
            </w:tcBorders>
            <w:vAlign w:val="center"/>
          </w:tcPr>
          <w:p>
            <w:pPr>
              <w:widowControl/>
              <w:jc w:val="left"/>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华东师范大学</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2017.10.21</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5</w:t>
            </w:r>
          </w:p>
        </w:tc>
        <w:tc>
          <w:tcPr>
            <w:tcW w:w="218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sz w:val="22"/>
              </w:rPr>
              <w:t>7</w:t>
            </w:r>
          </w:p>
        </w:tc>
        <w:tc>
          <w:tcPr>
            <w:tcW w:w="524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浙江省语言学会2017年修辞论坛</w:t>
            </w:r>
          </w:p>
        </w:tc>
        <w:tc>
          <w:tcPr>
            <w:tcW w:w="2268" w:type="dxa"/>
            <w:tcBorders>
              <w:top w:val="single" w:color="auto" w:sz="12" w:space="0"/>
              <w:bottom w:val="single" w:color="auto" w:sz="12" w:space="0"/>
            </w:tcBorders>
            <w:vAlign w:val="center"/>
          </w:tcPr>
          <w:p>
            <w:pPr>
              <w:jc w:val="left"/>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义乌工商学院人文旅游学院</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2017.12.15</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6</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sz w:val="22"/>
              </w:rPr>
              <w:t>8</w:t>
            </w:r>
          </w:p>
        </w:tc>
        <w:tc>
          <w:tcPr>
            <w:tcW w:w="524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浙江修辞学研讨会</w:t>
            </w:r>
          </w:p>
        </w:tc>
        <w:tc>
          <w:tcPr>
            <w:tcW w:w="2268" w:type="dxa"/>
            <w:tcBorders>
              <w:top w:val="single" w:color="auto" w:sz="12" w:space="0"/>
              <w:bottom w:val="single" w:color="auto" w:sz="12" w:space="0"/>
            </w:tcBorders>
            <w:vAlign w:val="center"/>
          </w:tcPr>
          <w:p>
            <w:pPr>
              <w:jc w:val="left"/>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浙江修辞学协会</w:t>
            </w:r>
          </w:p>
        </w:tc>
        <w:tc>
          <w:tcPr>
            <w:tcW w:w="1985"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2017.12.24</w:t>
            </w:r>
          </w:p>
        </w:tc>
        <w:tc>
          <w:tcPr>
            <w:tcW w:w="2033"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21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95"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sz w:val="22"/>
              </w:rPr>
              <w:t>9</w:t>
            </w:r>
          </w:p>
        </w:tc>
        <w:tc>
          <w:tcPr>
            <w:tcW w:w="5244" w:type="dxa"/>
            <w:tcBorders>
              <w:top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2018对外汉语博士生论坛暨第十一届对外汉语教学研究生学术论坛</w:t>
            </w:r>
          </w:p>
        </w:tc>
        <w:tc>
          <w:tcPr>
            <w:tcW w:w="2268" w:type="dxa"/>
            <w:tcBorders>
              <w:top w:val="single" w:color="auto" w:sz="12" w:space="0"/>
            </w:tcBorders>
            <w:vAlign w:val="center"/>
          </w:tcPr>
          <w:p>
            <w:pPr>
              <w:jc w:val="left"/>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北京大学</w:t>
            </w:r>
          </w:p>
        </w:tc>
        <w:tc>
          <w:tcPr>
            <w:tcW w:w="1985" w:type="dxa"/>
            <w:gridSpan w:val="2"/>
            <w:tcBorders>
              <w:top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2018.05.05</w:t>
            </w:r>
          </w:p>
        </w:tc>
        <w:tc>
          <w:tcPr>
            <w:tcW w:w="2033" w:type="dxa"/>
            <w:tcBorders>
              <w:top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c>
          <w:tcPr>
            <w:tcW w:w="2184" w:type="dxa"/>
            <w:tcBorders>
              <w:top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Theme="minorEastAsia" w:hAnsiTheme="minorEastAsia" w:cstheme="minorEastAsia"/>
                <w:color w:val="000000" w:themeColor="text1"/>
                <w:kern w:val="0"/>
                <w:sz w:val="22"/>
              </w:rPr>
              <w:t>1</w:t>
            </w:r>
          </w:p>
        </w:tc>
      </w:tr>
    </w:tbl>
    <w:p>
      <w:pPr>
        <w:spacing w:line="400" w:lineRule="exact"/>
        <w:ind w:firstLine="320" w:firstLineChars="100"/>
        <w:rPr>
          <w:rFonts w:ascii="仿宋_GB2312" w:hAnsi="Times New Roman" w:eastAsia="仿宋_GB2312" w:cs="仿宋"/>
          <w:color w:val="000000" w:themeColor="text1"/>
          <w:sz w:val="32"/>
          <w:szCs w:val="32"/>
        </w:rPr>
      </w:pPr>
    </w:p>
    <w:tbl>
      <w:tblPr>
        <w:tblStyle w:val="30"/>
        <w:tblW w:w="14865" w:type="dxa"/>
        <w:jc w:val="center"/>
        <w:tblInd w:w="23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384"/>
        <w:gridCol w:w="145"/>
        <w:gridCol w:w="1414"/>
        <w:gridCol w:w="97"/>
        <w:gridCol w:w="1462"/>
        <w:gridCol w:w="851"/>
        <w:gridCol w:w="1559"/>
        <w:gridCol w:w="175"/>
        <w:gridCol w:w="1309"/>
        <w:gridCol w:w="175"/>
        <w:gridCol w:w="1334"/>
        <w:gridCol w:w="17"/>
        <w:gridCol w:w="53"/>
        <w:gridCol w:w="26"/>
        <w:gridCol w:w="913"/>
        <w:gridCol w:w="567"/>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65" w:type="dxa"/>
            <w:gridSpan w:val="18"/>
            <w:tcBorders>
              <w:top w:val="single" w:color="auto" w:sz="12" w:space="0"/>
              <w:bottom w:val="single" w:color="auto" w:sz="12" w:space="0"/>
            </w:tcBorders>
            <w:vAlign w:val="center"/>
          </w:tcPr>
          <w:p>
            <w:pPr>
              <w:jc w:val="left"/>
              <w:rPr>
                <w:rFonts w:ascii="仿宋_GB2312" w:hAnsi="Calibri" w:eastAsia="仿宋_GB2312" w:cs="黑体"/>
                <w:b/>
                <w:color w:val="000000" w:themeColor="text1"/>
                <w:sz w:val="32"/>
                <w:szCs w:val="32"/>
              </w:rPr>
            </w:pPr>
            <w:r>
              <w:rPr>
                <w:rFonts w:hint="eastAsia" w:ascii="仿宋_GB2312" w:hAnsi="黑体" w:eastAsia="仿宋_GB2312" w:cs="黑体"/>
                <w:b/>
                <w:bCs/>
                <w:color w:val="000000" w:themeColor="text1"/>
                <w:sz w:val="32"/>
                <w:szCs w:val="32"/>
              </w:rPr>
              <w:t>Ⅱ-5毕业生论文情况（全部）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138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学生姓名</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毕业年月</w:t>
            </w:r>
          </w:p>
        </w:tc>
        <w:tc>
          <w:tcPr>
            <w:tcW w:w="3969" w:type="dxa"/>
            <w:gridSpan w:val="4"/>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毕业论文题目</w:t>
            </w:r>
          </w:p>
        </w:tc>
        <w:tc>
          <w:tcPr>
            <w:tcW w:w="148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论文形式</w:t>
            </w:r>
          </w:p>
        </w:tc>
        <w:tc>
          <w:tcPr>
            <w:tcW w:w="150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是否匿名抽审</w:t>
            </w:r>
          </w:p>
        </w:tc>
        <w:tc>
          <w:tcPr>
            <w:tcW w:w="1009" w:type="dxa"/>
            <w:gridSpan w:val="4"/>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导师姓名</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是否为优秀论文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刘天捷</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罗马尼亚学生汉语初中级阶段常见语法偏误分析</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胡云晚</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白湛钰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“因材施教”教育思想对对外汉语教学的启示</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陶绍清</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侯晓岚</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对外汉语教学视野下“x狗”类网络新词语研究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俞燕君</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朱玉芬</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日韩中年女性汉语学习者可能补语习得研究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税昌锡</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王庆玲</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多语视角下汉语语序习得中的语际影响研究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税昌锡</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张娜</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以纪录片为内容的对外汉语视听说教材研究及教学设计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胡云晚</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樊华</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情景教学法在初级听说课中的实证研究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教学实验</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程永艳</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潘益青</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商务汉语中的话语标记研究——以“看”、“说”类为例</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王建华</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赖潇芳</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基于案例的对外汉语教学课堂管理浅析</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案例分析</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严慧仙</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江坤</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针对马来亚大学初级汉语课的主题式任务型教学设计——以《你的儿子在哪儿工作?》为例</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杨同用</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茹彦龙</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泰国学生学习汉语语音的偏误及教学策略</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俞燕君</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张青云</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自媒体与对外汉语教学中跨文化交际能力培养研究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严慧仙</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王晨蕾</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基于儒家“和”文化的柬埔寨汉语教学传播与设计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张琴</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绪梦莹</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罗马尼亚学生中华文化认知调查</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杨瑞</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蒋卉</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以情感体验为核心的对外汉语戏曲教学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王彦章</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王杰于</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中高级汉语二语学习者词汇复现手段的偏误分析</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周毅</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马思敏</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印尼雅加达培民学校中学汉语教学研究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严慧仙</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王嫱</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对外汉语高级口语教材练习编写分析——以《大家说汉语》为例</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周毅</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周珊</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基于交际法视角下的作文评改设计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杨同用</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杨新红</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《发展汉语》中成语文化与对外汉语教学研究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陶绍清</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孙宏茂</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三音节牲畜类惯用语及其对外汉语教学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胡云晚</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王旭</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留学生熟语运用的偏误分析与教学策略</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赵卫东</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崔赛凤</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基于“互动式”教学模式的对外汉语综合课教学设计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杨同用</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余优留</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基于汉语国际教育视角的《史记》成语教学设计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程永艳</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俞洋</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新媒体视域下的对外汉语口语翻转课堂模式构建</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王建华</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邱峥艳</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初级汉语口语课任务型教学设计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教学设计</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叶晗</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郑新跃</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新媒体环境下留学生汉语学习策略研究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叶晗</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王晨露</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对外汉语高级阶段综合课教材中现当代文学作品编选分析</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赵卫东</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聂慧先</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对外汉语教学中的反义同词现象研究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张琴</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王津</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罗马尼亚初、中级汉语学习者词汇习得效率量化研究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教学实验</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王建华</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陈杰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对泰汉语教学中英语媒介语的调查与研究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王彦章</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李雨霖</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泰国大学生中华文化认知调查—以华侨崇圣大学为研究对象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杨瑞</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倪永峰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海外对外汉语中级综合课教材编写探讨——以《新实用汉语课本3》与《新的中国》比较为焦点</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税昌锡</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夏雨</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欧洲学生汉字学习问题与对策研究</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调研报告</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严慧仙</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林娜</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3969" w:type="dxa"/>
            <w:gridSpan w:val="4"/>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乌克兰汉语教材研究——以《基础汉语课本》和《实用汉语教科书》为例</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专题研究</w:t>
            </w:r>
          </w:p>
        </w:tc>
        <w:tc>
          <w:tcPr>
            <w:tcW w:w="1526" w:type="dxa"/>
            <w:gridSpan w:val="3"/>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992" w:type="dxa"/>
            <w:gridSpan w:val="3"/>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黄建滨</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65" w:type="dxa"/>
            <w:gridSpan w:val="18"/>
            <w:tcBorders>
              <w:top w:val="single" w:color="auto" w:sz="12" w:space="0"/>
              <w:bottom w:val="single" w:color="auto" w:sz="12" w:space="0"/>
            </w:tcBorders>
            <w:vAlign w:val="center"/>
          </w:tcPr>
          <w:p>
            <w:pPr>
              <w:jc w:val="left"/>
              <w:rPr>
                <w:rFonts w:ascii="仿宋_GB2312" w:hAnsi="Calibri"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Ⅱ-6毕业生就业情况（全部）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1384"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学生姓名</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毕业年月</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就业所在国</w:t>
            </w:r>
          </w:p>
        </w:tc>
        <w:tc>
          <w:tcPr>
            <w:tcW w:w="2410"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单位名称</w:t>
            </w:r>
          </w:p>
        </w:tc>
        <w:tc>
          <w:tcPr>
            <w:tcW w:w="148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 xml:space="preserve">岗位 </w:t>
            </w:r>
          </w:p>
        </w:tc>
        <w:tc>
          <w:tcPr>
            <w:tcW w:w="1605" w:type="dxa"/>
            <w:gridSpan w:val="5"/>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联系方式</w:t>
            </w:r>
          </w:p>
        </w:tc>
        <w:tc>
          <w:tcPr>
            <w:tcW w:w="1480"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是否与专业对口</w:t>
            </w:r>
          </w:p>
        </w:tc>
        <w:tc>
          <w:tcPr>
            <w:tcW w:w="212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单位联系方式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刘天捷</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罗马尼亚</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布加勒斯特大学孔子学院巴克乌费迪南德一世国立高中孔子课堂</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汉办志愿者</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15867182436</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40747211604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白湛钰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jc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中公教育集团</w:t>
            </w:r>
          </w:p>
        </w:tc>
        <w:tc>
          <w:tcPr>
            <w:tcW w:w="1484" w:type="dxa"/>
            <w:gridSpan w:val="2"/>
            <w:tcBorders>
              <w:top w:val="single" w:color="auto" w:sz="12" w:space="0"/>
              <w:bottom w:val="single" w:color="auto" w:sz="12" w:space="0"/>
            </w:tcBorders>
            <w:vAlign w:val="center"/>
          </w:tcPr>
          <w:p>
            <w:pPr>
              <w:jc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jc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15868162645</w:t>
            </w:r>
          </w:p>
        </w:tc>
        <w:tc>
          <w:tcPr>
            <w:tcW w:w="1480" w:type="dxa"/>
            <w:gridSpan w:val="2"/>
            <w:tcBorders>
              <w:top w:val="single" w:color="auto" w:sz="12" w:space="0"/>
              <w:bottom w:val="single" w:color="auto" w:sz="12" w:space="0"/>
            </w:tcBorders>
            <w:vAlign w:val="center"/>
          </w:tcPr>
          <w:p>
            <w:pPr>
              <w:jc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ascii="Arial" w:hAnsi="Arial" w:eastAsia="宋体" w:cs="Arial"/>
                <w:color w:val="000000" w:themeColor="text1"/>
                <w:sz w:val="19"/>
                <w:szCs w:val="19"/>
                <w:shd w:val="clear" w:color="auto" w:fill="FFFFFF"/>
              </w:rPr>
              <w:t>4006300999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侯晓岚</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温州正郎有限公司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人事</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15867066049</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18814886705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朱玉芬</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溧阳市南渡高级中学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18758017792</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13961285285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5</w:t>
            </w:r>
          </w:p>
        </w:tc>
        <w:tc>
          <w:tcPr>
            <w:tcW w:w="1384" w:type="dxa"/>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王庆玲</w:t>
            </w:r>
          </w:p>
        </w:tc>
        <w:tc>
          <w:tcPr>
            <w:tcW w:w="1559"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上海交通大学人文学院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对外汉语教师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15267174214</w:t>
            </w:r>
          </w:p>
        </w:tc>
        <w:tc>
          <w:tcPr>
            <w:tcW w:w="1480"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021-62932150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张娜</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罗马尼亚</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克鲁日巴比什·波雅依孔子学院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18721665535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樊华</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还在找</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15358730371</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潘益青</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杭州市余杭区良渚第二小学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15867111806</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18058735627（丁老师）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赖潇芳</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浙江科技学院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18814886725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0571-85070238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江坤</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顶兴学校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13968104314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ascii="宋体" w:hAnsi="宋体" w:cs="宋体"/>
                <w:color w:val="000000" w:themeColor="text1"/>
                <w:kern w:val="0"/>
                <w:sz w:val="22"/>
              </w:rPr>
              <w:t>15508599326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茹彦龙</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印度尼西亚</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玛拉拿达基督教孔子学院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汉办志愿者</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082210751931</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0226011258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张青云</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安吉路实验学校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18867140125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85161609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王晨蕾</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杭州市丹枫实验小学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13855676394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0571-56073360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绪梦莹</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上海市龙华纪念馆‬</w:t>
            </w:r>
          </w:p>
        </w:tc>
        <w:tc>
          <w:tcPr>
            <w:tcW w:w="1484"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教育专员</w:t>
            </w:r>
          </w:p>
        </w:tc>
        <w:tc>
          <w:tcPr>
            <w:tcW w:w="1605" w:type="dxa"/>
            <w:gridSpan w:val="5"/>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15262273872</w:t>
            </w:r>
          </w:p>
        </w:tc>
        <w:tc>
          <w:tcPr>
            <w:tcW w:w="1480"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 w:val="22"/>
              </w:rPr>
            </w:pPr>
            <w:r>
              <w:rPr>
                <w:rFonts w:hint="eastAsia" w:ascii="宋体" w:hAnsi="宋体" w:eastAsia="宋体" w:cs="宋体"/>
                <w:color w:val="000000" w:themeColor="text1"/>
                <w:kern w:val="0"/>
                <w:sz w:val="22"/>
              </w:rPr>
              <w:t>021-64688575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蒋卉</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泰国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泰国志愿者</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汉办</w:t>
            </w:r>
            <w:r>
              <w:rPr>
                <w:rFonts w:hint="eastAsia" w:ascii="宋体" w:hAnsi="宋体" w:eastAsia="宋体" w:cs="宋体"/>
                <w:color w:val="000000" w:themeColor="text1"/>
                <w:kern w:val="0"/>
                <w:sz w:val="22"/>
              </w:rPr>
              <w:t>志愿者</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15161012990</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王杰于</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杭州市长河小学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w:t>
            </w:r>
            <w:r>
              <w:rPr>
                <w:rFonts w:hint="eastAsia" w:ascii="宋体" w:hAnsi="宋体" w:cs="宋体"/>
                <w:color w:val="000000" w:themeColor="text1"/>
                <w:kern w:val="0"/>
                <w:sz w:val="22"/>
              </w:rPr>
              <w:t>教</w:t>
            </w:r>
            <w:r>
              <w:rPr>
                <w:rFonts w:hint="eastAsia" w:ascii="宋体" w:hAnsi="宋体" w:eastAsia="宋体" w:cs="宋体"/>
                <w:color w:val="000000" w:themeColor="text1"/>
                <w:kern w:val="0"/>
                <w:sz w:val="22"/>
              </w:rPr>
              <w:t>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15867148724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0571-86606316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马思敏</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良渚第二小学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15068870213</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18058735627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王嫱</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深圳教育局</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中学教师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15867158409</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0755-88211817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周珊</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深圳嘉明有限公司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运营</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18867147864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18888926042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杨新红</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浙江国泰萧星密封材料股份有限公司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外贸业务员</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18867150546</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0571-82750651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孙宏茂</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杭州市文三教育集团（总校）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18867153774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0571-56890729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王旭</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美国明德大学杭州分校</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18357181803</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13372531102</w:t>
            </w:r>
            <w:r>
              <w:rPr>
                <w:rFonts w:hint="eastAsia" w:ascii="MS Mincho" w:hAnsi="MS Mincho" w:eastAsia="MS Mincho" w:cs="MS Mincho"/>
                <w:color w:val="000000" w:themeColor="text1"/>
                <w:kern w:val="0"/>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崔赛凤</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北京京东世纪贸易有限公司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资质审核</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18867149302</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4006183638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24</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余优留</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良渚第一小学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18814886706</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18969903052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25</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俞洋</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萧山信息港小学</w:t>
            </w:r>
          </w:p>
        </w:tc>
        <w:tc>
          <w:tcPr>
            <w:tcW w:w="1484"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18868715319</w:t>
            </w:r>
          </w:p>
        </w:tc>
        <w:tc>
          <w:tcPr>
            <w:tcW w:w="148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0571-</w:t>
            </w:r>
            <w:r>
              <w:rPr>
                <w:rFonts w:hint="eastAsia" w:ascii="宋体" w:hAnsi="宋体" w:eastAsia="宋体" w:cs="宋体"/>
                <w:color w:val="000000" w:themeColor="text1"/>
                <w:kern w:val="0"/>
                <w:sz w:val="22"/>
              </w:rPr>
              <w:t>83816823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26</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邱峥艳</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浙江科技学院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18814886725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0571-85070238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27</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郑新跃</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浙江科技学院</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汉语教师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18814886725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0571-85070238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28</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王晨露</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杭州科卫智能科技有限公司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外贸业务员</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15869180875</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0571-86797052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29</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聂慧先</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浙江树人大学</w:t>
            </w:r>
          </w:p>
        </w:tc>
        <w:tc>
          <w:tcPr>
            <w:tcW w:w="1484"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教务处</w:t>
            </w:r>
          </w:p>
        </w:tc>
        <w:tc>
          <w:tcPr>
            <w:tcW w:w="1605" w:type="dxa"/>
            <w:gridSpan w:val="5"/>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13656814799</w:t>
            </w:r>
          </w:p>
        </w:tc>
        <w:tc>
          <w:tcPr>
            <w:tcW w:w="148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c>
          <w:tcPr>
            <w:tcW w:w="2127" w:type="dxa"/>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0571--88299842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30</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王津</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浙江嵊州农村商业银行股份有限公司</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培训管理</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13605801914</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否</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0757-83181288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31</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陈杰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无锡育英小学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17681867311</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0510</w:t>
            </w:r>
            <w:r>
              <w:rPr>
                <w:rFonts w:hint="eastAsia" w:ascii="宋体" w:hAnsi="宋体" w:cs="宋体"/>
                <w:color w:val="000000" w:themeColor="text1"/>
                <w:kern w:val="0"/>
                <w:sz w:val="22"/>
              </w:rPr>
              <w:t>-</w:t>
            </w:r>
            <w:r>
              <w:rPr>
                <w:rFonts w:hint="eastAsia" w:ascii="宋体" w:hAnsi="宋体" w:eastAsia="宋体" w:cs="宋体"/>
                <w:color w:val="000000" w:themeColor="text1"/>
                <w:kern w:val="0"/>
                <w:sz w:val="22"/>
              </w:rPr>
              <w:t>85815835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32</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李雨霖</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梅州市学艺中学</w:t>
            </w:r>
          </w:p>
        </w:tc>
        <w:tc>
          <w:tcPr>
            <w:tcW w:w="1484"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语文教师</w:t>
            </w:r>
          </w:p>
        </w:tc>
        <w:tc>
          <w:tcPr>
            <w:tcW w:w="1605" w:type="dxa"/>
            <w:gridSpan w:val="5"/>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18867149301</w:t>
            </w:r>
          </w:p>
        </w:tc>
        <w:tc>
          <w:tcPr>
            <w:tcW w:w="1480" w:type="dxa"/>
            <w:gridSpan w:val="2"/>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cs="宋体"/>
                <w:color w:val="000000" w:themeColor="text1"/>
                <w:kern w:val="0"/>
                <w:sz w:val="22"/>
              </w:rPr>
              <w:t>是</w:t>
            </w:r>
          </w:p>
        </w:tc>
        <w:tc>
          <w:tcPr>
            <w:tcW w:w="212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0753-2243742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33</w:t>
            </w:r>
          </w:p>
        </w:tc>
        <w:tc>
          <w:tcPr>
            <w:tcW w:w="1384" w:type="dxa"/>
            <w:tcBorders>
              <w:top w:val="single" w:color="auto" w:sz="12" w:space="0"/>
              <w:bottom w:val="single" w:color="auto" w:sz="12" w:space="0"/>
            </w:tcBorders>
            <w:vAlign w:val="center"/>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倪永峰</w:t>
            </w:r>
          </w:p>
        </w:tc>
        <w:tc>
          <w:tcPr>
            <w:tcW w:w="155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2018.1.10</w:t>
            </w:r>
          </w:p>
        </w:tc>
        <w:tc>
          <w:tcPr>
            <w:tcW w:w="1559"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中国</w:t>
            </w:r>
          </w:p>
        </w:tc>
        <w:tc>
          <w:tcPr>
            <w:tcW w:w="241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星火教育无锡分公司</w:t>
            </w:r>
          </w:p>
        </w:tc>
        <w:tc>
          <w:tcPr>
            <w:tcW w:w="1484"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语文教师</w:t>
            </w:r>
          </w:p>
        </w:tc>
        <w:tc>
          <w:tcPr>
            <w:tcW w:w="1605" w:type="dxa"/>
            <w:gridSpan w:val="5"/>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18861628093</w:t>
            </w:r>
          </w:p>
        </w:tc>
        <w:tc>
          <w:tcPr>
            <w:tcW w:w="1480" w:type="dxa"/>
            <w:gridSpan w:val="2"/>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是</w:t>
            </w:r>
          </w:p>
        </w:tc>
        <w:tc>
          <w:tcPr>
            <w:tcW w:w="2127" w:type="dxa"/>
            <w:tcBorders>
              <w:top w:val="single" w:color="auto" w:sz="12" w:space="0"/>
              <w:bottom w:val="single" w:color="auto" w:sz="12" w:space="0"/>
            </w:tcBorders>
          </w:tcPr>
          <w:p>
            <w:pPr>
              <w:widowControl/>
              <w:jc w:val="center"/>
              <w:textAlignment w:val="center"/>
              <w:rPr>
                <w:rFonts w:ascii="仿宋_GB2312" w:hAnsi="Calibri" w:eastAsia="仿宋_GB2312" w:cs="黑体"/>
                <w:b/>
                <w:bCs/>
                <w:color w:val="000000" w:themeColor="text1"/>
                <w:sz w:val="24"/>
                <w:szCs w:val="32"/>
              </w:rPr>
            </w:pPr>
            <w:r>
              <w:rPr>
                <w:rFonts w:hint="eastAsia" w:ascii="宋体" w:hAnsi="宋体" w:eastAsia="宋体" w:cs="宋体"/>
                <w:color w:val="000000" w:themeColor="text1"/>
                <w:kern w:val="0"/>
                <w:sz w:val="22"/>
              </w:rPr>
              <w:t>0510-82085555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65" w:type="dxa"/>
            <w:gridSpan w:val="18"/>
            <w:tcBorders>
              <w:top w:val="single" w:color="auto" w:sz="12" w:space="0"/>
              <w:bottom w:val="single" w:color="auto" w:sz="12" w:space="0"/>
            </w:tcBorders>
            <w:vAlign w:val="center"/>
          </w:tcPr>
          <w:p>
            <w:pPr>
              <w:jc w:val="left"/>
              <w:rPr>
                <w:rFonts w:ascii="仿宋_GB2312" w:hAnsi="Calibri" w:eastAsia="仿宋_GB2312" w:cs="黑体"/>
                <w:b/>
                <w:bCs/>
                <w:color w:val="000000" w:themeColor="text1"/>
                <w:sz w:val="32"/>
                <w:szCs w:val="32"/>
              </w:rPr>
            </w:pPr>
            <w:r>
              <w:rPr>
                <w:rFonts w:hint="eastAsia" w:ascii="仿宋_GB2312" w:hAnsi="Calibri" w:eastAsia="仿宋_GB2312" w:cs="黑体"/>
                <w:b/>
                <w:bCs/>
                <w:color w:val="000000" w:themeColor="text1"/>
                <w:sz w:val="32"/>
                <w:szCs w:val="32"/>
              </w:rPr>
              <w:t>近3年对口就业率：</w:t>
            </w:r>
            <w:r>
              <w:rPr>
                <w:rFonts w:hint="eastAsia" w:ascii="仿宋_GB2312" w:hAnsi="Calibri" w:eastAsia="仿宋_GB2312" w:cs="黑体"/>
                <w:b/>
                <w:bCs/>
                <w:color w:val="000000" w:themeColor="text1"/>
                <w:sz w:val="32"/>
                <w:szCs w:val="32"/>
                <w:u w:val="single"/>
              </w:rPr>
              <w:t xml:space="preserve">  72.73  </w:t>
            </w:r>
            <w:r>
              <w:rPr>
                <w:rFonts w:hint="eastAsia" w:ascii="仿宋_GB2312" w:hAnsi="Calibri" w:eastAsia="仿宋_GB2312" w:cs="黑体"/>
                <w:b/>
                <w:bCs/>
                <w:color w:val="000000" w:themeColor="text1"/>
                <w:sz w:val="32"/>
                <w:szCs w:val="32"/>
              </w:rPr>
              <w:t xml:space="preserve"> %=3年对口就业毕业生总数（ 24 ）：3年毕业生总数（ 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4865" w:type="dxa"/>
            <w:gridSpan w:val="18"/>
            <w:tcBorders>
              <w:top w:val="single" w:color="auto" w:sz="12" w:space="0"/>
              <w:bottom w:val="single" w:color="auto" w:sz="12" w:space="0"/>
            </w:tcBorders>
            <w:vAlign w:val="center"/>
          </w:tcPr>
          <w:p>
            <w:pPr>
              <w:jc w:val="left"/>
              <w:rPr>
                <w:rFonts w:ascii="仿宋_GB2312" w:hAnsi="黑体" w:eastAsia="仿宋_GB2312" w:cs="黑体"/>
                <w:b/>
                <w:bCs/>
                <w:color w:val="000000" w:themeColor="text1"/>
                <w:sz w:val="32"/>
                <w:szCs w:val="32"/>
              </w:rPr>
            </w:pPr>
            <w:r>
              <w:rPr>
                <w:rFonts w:hint="eastAsia" w:ascii="仿宋_GB2312" w:hAnsi="黑体" w:eastAsia="仿宋_GB2312" w:cs="黑体"/>
                <w:b/>
                <w:bCs/>
                <w:color w:val="000000" w:themeColor="text1"/>
                <w:sz w:val="32"/>
                <w:szCs w:val="32"/>
              </w:rPr>
              <w:t>Ⅱ-4-3优秀毕业生代表业绩及获奖情况（不超过50人）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序号</w:t>
            </w:r>
          </w:p>
        </w:tc>
        <w:tc>
          <w:tcPr>
            <w:tcW w:w="1529"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学生姓名</w:t>
            </w:r>
          </w:p>
        </w:tc>
        <w:tc>
          <w:tcPr>
            <w:tcW w:w="1511"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毕业年月</w:t>
            </w:r>
          </w:p>
        </w:tc>
        <w:tc>
          <w:tcPr>
            <w:tcW w:w="2313"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发表论文情况</w:t>
            </w:r>
          </w:p>
        </w:tc>
        <w:tc>
          <w:tcPr>
            <w:tcW w:w="173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奖项及级别</w:t>
            </w:r>
          </w:p>
        </w:tc>
        <w:tc>
          <w:tcPr>
            <w:tcW w:w="148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工作单位</w:t>
            </w:r>
          </w:p>
        </w:tc>
        <w:tc>
          <w:tcPr>
            <w:tcW w:w="1404" w:type="dxa"/>
            <w:gridSpan w:val="3"/>
            <w:tcBorders>
              <w:top w:val="single" w:color="auto" w:sz="12" w:space="0"/>
              <w:bottom w:val="single" w:color="auto" w:sz="12" w:space="0"/>
            </w:tcBorders>
          </w:tcPr>
          <w:p>
            <w:pPr>
              <w:spacing w:line="400" w:lineRule="exact"/>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岗位</w:t>
            </w:r>
          </w:p>
        </w:tc>
        <w:tc>
          <w:tcPr>
            <w:tcW w:w="939" w:type="dxa"/>
            <w:gridSpan w:val="2"/>
            <w:tcBorders>
              <w:top w:val="single" w:color="auto" w:sz="12" w:space="0"/>
              <w:bottom w:val="single" w:color="auto" w:sz="12" w:space="0"/>
            </w:tcBorders>
          </w:tcPr>
          <w:p>
            <w:pPr>
              <w:spacing w:line="400" w:lineRule="exact"/>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薪资水平</w:t>
            </w:r>
          </w:p>
        </w:tc>
        <w:tc>
          <w:tcPr>
            <w:tcW w:w="2694" w:type="dxa"/>
            <w:gridSpan w:val="2"/>
            <w:tcBorders>
              <w:top w:val="single" w:color="auto" w:sz="12" w:space="0"/>
              <w:bottom w:val="single" w:color="auto" w:sz="12" w:space="0"/>
            </w:tcBorders>
            <w:vAlign w:val="center"/>
          </w:tcPr>
          <w:p>
            <w:pPr>
              <w:jc w:val="center"/>
              <w:rPr>
                <w:rFonts w:ascii="仿宋_GB2312" w:hAnsi="Calibri" w:eastAsia="仿宋_GB2312" w:cs="黑体"/>
                <w:b/>
                <w:bCs/>
                <w:color w:val="000000" w:themeColor="text1"/>
                <w:sz w:val="24"/>
                <w:szCs w:val="32"/>
              </w:rPr>
            </w:pPr>
            <w:r>
              <w:rPr>
                <w:rFonts w:hint="eastAsia" w:ascii="仿宋_GB2312" w:hAnsi="Calibri" w:eastAsia="仿宋_GB2312" w:cs="黑体"/>
                <w:b/>
                <w:bCs/>
                <w:color w:val="000000" w:themeColor="text1"/>
                <w:sz w:val="24"/>
                <w:szCs w:val="32"/>
              </w:rPr>
              <w:t>用人单位联系方式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w:t>
            </w:r>
          </w:p>
        </w:tc>
        <w:tc>
          <w:tcPr>
            <w:tcW w:w="1529"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潘益青</w:t>
            </w:r>
          </w:p>
        </w:tc>
        <w:tc>
          <w:tcPr>
            <w:tcW w:w="1511" w:type="dxa"/>
            <w:gridSpan w:val="2"/>
            <w:tcBorders>
              <w:top w:val="single" w:color="auto" w:sz="12" w:space="0"/>
              <w:bottom w:val="single" w:color="auto" w:sz="12" w:space="0"/>
            </w:tcBorders>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1.《丝绸之路经济带背景下中亚学生管理策略探究——以浙江省高校为例》，《浙江科技学院学报》，2016.7；</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2.《“我X说</w:t>
            </w:r>
            <w:r>
              <w:rPr>
                <w:rFonts w:ascii="宋体" w:hAnsi="宋体" w:eastAsia="宋体" w:cs="宋体"/>
                <w:color w:val="000000" w:themeColor="text1"/>
                <w:kern w:val="0"/>
                <w:szCs w:val="21"/>
              </w:rPr>
              <w:t>”</w:t>
            </w:r>
            <w:r>
              <w:rPr>
                <w:rFonts w:hint="eastAsia" w:ascii="宋体" w:hAnsi="宋体" w:eastAsia="宋体" w:cs="宋体"/>
                <w:color w:val="000000" w:themeColor="text1"/>
                <w:kern w:val="0"/>
                <w:szCs w:val="21"/>
              </w:rPr>
              <w:t>类话语标记研究》，2016年浙黔语言学年会暨浙江省语言学会第18届年会会议论文；</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3.《“可以说”与“可以说是……了”》，中国修辞学会2017年年会会议论文。</w:t>
            </w:r>
          </w:p>
        </w:tc>
        <w:tc>
          <w:tcPr>
            <w:tcW w:w="1734"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1.第二届世界互联网大会突出贡献服务奖，省级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 《梦行浙江》浙江省第10届来华留学生中华才艺展演系列活动三等奖，省级；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3.2016-2017学年一等学业奖学金、“三好学生”称号，校级；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4.2017-2018学年一等学业奖学金、“三好学生”称号、学术风尚奖，校级；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5.浙江科技学院35周年校庆优秀个人，校级；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6.第二届研究生宿舍文化节二等奖，校级；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7.校研究生毕业晚会、迎新文化会优秀个人。</w:t>
            </w:r>
          </w:p>
        </w:tc>
        <w:tc>
          <w:tcPr>
            <w:tcW w:w="1484"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杭州市余杭区良渚第二小学</w:t>
            </w:r>
          </w:p>
        </w:tc>
        <w:tc>
          <w:tcPr>
            <w:tcW w:w="1404" w:type="dxa"/>
            <w:gridSpan w:val="3"/>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小学语文教师</w:t>
            </w:r>
          </w:p>
        </w:tc>
        <w:tc>
          <w:tcPr>
            <w:tcW w:w="939"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4000元/月</w:t>
            </w:r>
          </w:p>
        </w:tc>
        <w:tc>
          <w:tcPr>
            <w:tcW w:w="2694" w:type="dxa"/>
            <w:gridSpan w:val="2"/>
            <w:tcBorders>
              <w:top w:val="single" w:color="auto" w:sz="12" w:space="0"/>
              <w:bottom w:val="single" w:color="auto" w:sz="12" w:space="0"/>
            </w:tcBorders>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18058735627</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(丁老师)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邱峥艳</w:t>
            </w:r>
          </w:p>
        </w:tc>
        <w:tc>
          <w:tcPr>
            <w:tcW w:w="1511" w:type="dxa"/>
            <w:gridSpan w:val="2"/>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无</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2015浙江科技学院一等学业奖学金，校级；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2016 浙江科技学院二等学业奖学金、三好学生，校级；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2017 浙江科技学院二等学业奖学金、三好学生、学术风尚奖，校级。</w:t>
            </w: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浙江科技学院人文与国际教育学院</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对外汉语教师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4500元/月</w:t>
            </w:r>
          </w:p>
        </w:tc>
        <w:tc>
          <w:tcPr>
            <w:tcW w:w="269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0571-85070630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王杰于</w:t>
            </w:r>
          </w:p>
        </w:tc>
        <w:tc>
          <w:tcPr>
            <w:tcW w:w="1511" w:type="dxa"/>
            <w:gridSpan w:val="2"/>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无</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2015浙江科技学院二等学业奖学金，校级；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2016 浙江科技学院二等学业奖学金、校级；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2017 浙江科技学院一等学业奖学金校级。</w:t>
            </w: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杭州市长河小学</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小学语文老师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4000元/月</w:t>
            </w:r>
          </w:p>
        </w:tc>
        <w:tc>
          <w:tcPr>
            <w:tcW w:w="269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0571-663686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孙宏茂</w:t>
            </w:r>
          </w:p>
        </w:tc>
        <w:tc>
          <w:tcPr>
            <w:tcW w:w="1511" w:type="dxa"/>
            <w:gridSpan w:val="2"/>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《英语国家留学生限定性范围副词的偏误研究——以“单”“光”“仅”为例》发表于浙江科技学院学报2018年第4期</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学业奖学金二、三等奖，校级；</w:t>
            </w:r>
          </w:p>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科研成果奖，单项奖，校级</w:t>
            </w:r>
          </w:p>
          <w:p>
            <w:pPr>
              <w:widowControl/>
              <w:jc w:val="center"/>
              <w:textAlignment w:val="center"/>
              <w:rPr>
                <w:rFonts w:ascii="宋体" w:hAnsi="宋体" w:eastAsia="宋体" w:cs="宋体"/>
                <w:color w:val="000000" w:themeColor="text1"/>
                <w:kern w:val="0"/>
                <w:szCs w:val="21"/>
              </w:rPr>
            </w:pP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杭州市文三教育集团（总校）</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小学语文教师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3000元/月</w:t>
            </w:r>
          </w:p>
        </w:tc>
        <w:tc>
          <w:tcPr>
            <w:tcW w:w="269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0571-56890729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5</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王旭</w:t>
            </w:r>
          </w:p>
        </w:tc>
        <w:tc>
          <w:tcPr>
            <w:tcW w:w="1511" w:type="dxa"/>
            <w:gridSpan w:val="2"/>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无</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学业一、二等奖学金，校级；优秀研究生干部，校级</w:t>
            </w: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美国明德大学杭州分校</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对外汉语教师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4000～5000元/月</w:t>
            </w:r>
          </w:p>
        </w:tc>
        <w:tc>
          <w:tcPr>
            <w:tcW w:w="269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13372531102</w:t>
            </w:r>
            <w:r>
              <w:rPr>
                <w:rFonts w:hint="eastAsia" w:ascii="MS Mincho" w:hAnsi="MS Mincho" w:eastAsia="MS Mincho" w:cs="MS Mincho"/>
                <w:color w:val="000000" w:themeColor="text1"/>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6</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江坤</w:t>
            </w:r>
          </w:p>
        </w:tc>
        <w:tc>
          <w:tcPr>
            <w:tcW w:w="1511" w:type="dxa"/>
            <w:gridSpan w:val="2"/>
            <w:vAlign w:val="center"/>
          </w:tcPr>
          <w:p>
            <w:pPr>
              <w:jc w:val="center"/>
              <w:rPr>
                <w:color w:val="000000" w:themeColor="text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《马来西亚汉语教学现状与策略》发表于《汉语应用语言学研究 》（第七辑）</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学业奖学金二、三等奖，校级</w:t>
            </w:r>
          </w:p>
          <w:p>
            <w:pPr>
              <w:widowControl/>
              <w:jc w:val="center"/>
              <w:textAlignment w:val="center"/>
              <w:rPr>
                <w:rFonts w:ascii="宋体" w:hAnsi="宋体" w:eastAsia="宋体" w:cs="宋体"/>
                <w:color w:val="000000" w:themeColor="text1"/>
                <w:kern w:val="0"/>
                <w:szCs w:val="21"/>
              </w:rPr>
            </w:pP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顶兴学校</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语文教师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4000元/月</w:t>
            </w:r>
          </w:p>
        </w:tc>
        <w:tc>
          <w:tcPr>
            <w:tcW w:w="2694" w:type="dxa"/>
            <w:gridSpan w:val="2"/>
            <w:vAlign w:val="center"/>
          </w:tcPr>
          <w:p>
            <w:pPr>
              <w:widowControl/>
              <w:jc w:val="center"/>
              <w:textAlignment w:val="center"/>
              <w:rPr>
                <w:rFonts w:ascii="宋体" w:hAnsi="宋体" w:eastAsia="宋体" w:cs="宋体"/>
                <w:color w:val="000000" w:themeColor="text1"/>
                <w:kern w:val="0"/>
                <w:szCs w:val="21"/>
              </w:rPr>
            </w:pPr>
            <w:r>
              <w:rPr>
                <w:rFonts w:ascii="宋体" w:hAnsi="宋体" w:cs="宋体"/>
                <w:color w:val="000000" w:themeColor="text1"/>
                <w:kern w:val="0"/>
                <w:sz w:val="22"/>
              </w:rPr>
              <w:t>15508599326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257" w:type="dxa"/>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7</w:t>
            </w:r>
          </w:p>
        </w:tc>
        <w:tc>
          <w:tcPr>
            <w:tcW w:w="152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朱玉芬</w:t>
            </w:r>
          </w:p>
        </w:tc>
        <w:tc>
          <w:tcPr>
            <w:tcW w:w="1511" w:type="dxa"/>
            <w:gridSpan w:val="2"/>
            <w:vAlign w:val="center"/>
          </w:tcPr>
          <w:p>
            <w:pPr>
              <w:jc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2018年1月</w:t>
            </w:r>
          </w:p>
        </w:tc>
        <w:tc>
          <w:tcPr>
            <w:tcW w:w="2313"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无</w:t>
            </w:r>
          </w:p>
        </w:tc>
        <w:tc>
          <w:tcPr>
            <w:tcW w:w="173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学业奖学金一、二、三等奖，校级</w:t>
            </w:r>
          </w:p>
          <w:p>
            <w:pPr>
              <w:widowControl/>
              <w:jc w:val="center"/>
              <w:textAlignment w:val="center"/>
              <w:rPr>
                <w:rFonts w:ascii="宋体" w:hAnsi="宋体" w:eastAsia="宋体" w:cs="宋体"/>
                <w:color w:val="000000" w:themeColor="text1"/>
                <w:kern w:val="0"/>
                <w:szCs w:val="21"/>
              </w:rPr>
            </w:pPr>
          </w:p>
        </w:tc>
        <w:tc>
          <w:tcPr>
            <w:tcW w:w="1484"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 w:val="22"/>
              </w:rPr>
              <w:t>溧阳市南渡高级中学</w:t>
            </w:r>
          </w:p>
        </w:tc>
        <w:tc>
          <w:tcPr>
            <w:tcW w:w="1404" w:type="dxa"/>
            <w:gridSpan w:val="3"/>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 w:val="22"/>
              </w:rPr>
              <w:t>高中语文教师</w:t>
            </w:r>
          </w:p>
        </w:tc>
        <w:tc>
          <w:tcPr>
            <w:tcW w:w="939" w:type="dxa"/>
            <w:gridSpan w:val="2"/>
            <w:vAlign w:val="center"/>
          </w:tcPr>
          <w:p>
            <w:pPr>
              <w:widowControl/>
              <w:jc w:val="center"/>
              <w:textAlignment w:val="center"/>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4000～5000元/月</w:t>
            </w:r>
          </w:p>
        </w:tc>
        <w:tc>
          <w:tcPr>
            <w:tcW w:w="2694" w:type="dxa"/>
            <w:gridSpan w:val="2"/>
            <w:vAlign w:val="center"/>
          </w:tcPr>
          <w:p>
            <w:pPr>
              <w:widowControl/>
              <w:jc w:val="center"/>
              <w:textAlignment w:val="center"/>
              <w:rPr>
                <w:rFonts w:ascii="宋体" w:hAnsi="宋体" w:cs="宋体"/>
                <w:color w:val="000000" w:themeColor="text1"/>
                <w:kern w:val="0"/>
                <w:sz w:val="22"/>
              </w:rPr>
            </w:pPr>
            <w:r>
              <w:rPr>
                <w:rFonts w:hint="eastAsia" w:ascii="宋体" w:hAnsi="宋体" w:eastAsia="宋体" w:cs="宋体"/>
                <w:color w:val="000000" w:themeColor="text1"/>
                <w:kern w:val="0"/>
                <w:sz w:val="22"/>
              </w:rPr>
              <w:t>13961285285</w:t>
            </w:r>
          </w:p>
        </w:tc>
      </w:tr>
    </w:tbl>
    <w:p>
      <w:pPr>
        <w:widowControl/>
        <w:jc w:val="left"/>
        <w:rPr>
          <w:rFonts w:ascii="仿宋_GB2312" w:hAnsi="Times New Roman" w:eastAsia="仿宋_GB2312" w:cs="仿宋"/>
          <w:color w:val="000000" w:themeColor="text1"/>
          <w:szCs w:val="21"/>
        </w:rPr>
      </w:pPr>
    </w:p>
    <w:p>
      <w:pPr>
        <w:widowControl/>
        <w:jc w:val="left"/>
        <w:rPr>
          <w:rFonts w:ascii="仿宋_GB2312" w:hAnsi="Times New Roman" w:eastAsia="仿宋_GB2312" w:cs="仿宋"/>
          <w:b/>
          <w:color w:val="000000" w:themeColor="text1"/>
          <w:sz w:val="32"/>
          <w:szCs w:val="32"/>
        </w:rPr>
      </w:pPr>
      <w:r>
        <w:rPr>
          <w:rFonts w:hint="eastAsia" w:ascii="仿宋_GB2312" w:hAnsi="Times New Roman" w:eastAsia="仿宋_GB2312" w:cs="仿宋"/>
          <w:b/>
          <w:color w:val="000000" w:themeColor="text1"/>
          <w:sz w:val="32"/>
          <w:szCs w:val="32"/>
        </w:rPr>
        <w:t>汉语国际教育硕士评估所有数据录入评估专用数据库，导出数据生成纸质版签字盖章后提交，所有附件扫描后通过系统上传。</w:t>
      </w:r>
    </w:p>
    <w:p>
      <w:pPr>
        <w:widowControl/>
        <w:jc w:val="left"/>
        <w:rPr>
          <w:rFonts w:ascii="仿宋_GB2312" w:hAnsi="Times New Roman" w:eastAsia="仿宋_GB2312" w:cs="仿宋"/>
          <w:b/>
          <w:color w:val="000000" w:themeColor="text1"/>
          <w:sz w:val="32"/>
          <w:szCs w:val="32"/>
        </w:rPr>
        <w:sectPr>
          <w:pgSz w:w="16838" w:h="11906" w:orient="landscape"/>
          <w:pgMar w:top="1191" w:right="1191" w:bottom="1191" w:left="1191" w:header="851" w:footer="992" w:gutter="0"/>
          <w:cols w:space="425" w:num="1"/>
          <w:docGrid w:type="linesAndChars" w:linePitch="312" w:charSpace="0"/>
        </w:sectPr>
      </w:pPr>
    </w:p>
    <w:p>
      <w:pPr>
        <w:spacing w:line="480" w:lineRule="auto"/>
        <w:jc w:val="left"/>
        <w:outlineLvl w:val="0"/>
        <w:rPr>
          <w:rFonts w:ascii="仿宋_GB2312" w:hAnsi="华文楷体" w:eastAsia="仿宋_GB2312" w:cs="黑体"/>
          <w:bCs/>
          <w:color w:val="000000" w:themeColor="text1"/>
          <w:sz w:val="32"/>
          <w:szCs w:val="32"/>
        </w:rPr>
      </w:pPr>
      <w:r>
        <w:rPr>
          <w:rFonts w:ascii="仿宋_GB2312" w:hAnsi="华文楷体" w:eastAsia="仿宋_GB2312" w:cs="黑体"/>
          <w:bCs/>
          <w:color w:val="000000" w:themeColor="text1"/>
          <w:sz w:val="32"/>
          <w:szCs w:val="32"/>
        </w:rPr>
        <w:t>附件</w:t>
      </w:r>
      <w:r>
        <w:rPr>
          <w:rFonts w:hint="eastAsia" w:ascii="仿宋_GB2312" w:hAnsi="华文楷体" w:eastAsia="仿宋_GB2312" w:cs="黑体"/>
          <w:bCs/>
          <w:color w:val="000000" w:themeColor="text1"/>
          <w:sz w:val="32"/>
          <w:szCs w:val="32"/>
        </w:rPr>
        <w:t>6</w:t>
      </w:r>
      <w:r>
        <w:rPr>
          <w:rFonts w:ascii="仿宋_GB2312" w:hAnsi="华文楷体" w:eastAsia="仿宋_GB2312" w:cs="黑体"/>
          <w:bCs/>
          <w:color w:val="000000" w:themeColor="text1"/>
          <w:sz w:val="32"/>
          <w:szCs w:val="32"/>
        </w:rPr>
        <w:t>：</w:t>
      </w:r>
    </w:p>
    <w:p>
      <w:pPr>
        <w:rPr>
          <w:rFonts w:eastAsia="仿宋_GB2312"/>
          <w:color w:val="000000" w:themeColor="text1"/>
          <w:sz w:val="28"/>
          <w:szCs w:val="28"/>
        </w:rPr>
      </w:pPr>
    </w:p>
    <w:p>
      <w:pPr>
        <w:widowControl/>
        <w:spacing w:line="440" w:lineRule="exact"/>
        <w:jc w:val="center"/>
        <w:rPr>
          <w:rFonts w:ascii="华文中宋" w:hAnsi="华文中宋" w:eastAsia="华文中宋" w:cs="Times New Roman"/>
          <w:color w:val="000000" w:themeColor="text1"/>
          <w:sz w:val="36"/>
          <w:szCs w:val="36"/>
        </w:rPr>
      </w:pPr>
      <w:r>
        <w:rPr>
          <w:rFonts w:hint="eastAsia" w:ascii="华文中宋" w:hAnsi="华文中宋" w:eastAsia="华文中宋" w:cs="Times New Roman"/>
          <w:color w:val="000000" w:themeColor="text1"/>
          <w:sz w:val="36"/>
          <w:szCs w:val="36"/>
        </w:rPr>
        <w:t>参评点须提交的文件和材料</w:t>
      </w:r>
    </w:p>
    <w:p>
      <w:pPr>
        <w:spacing w:line="240" w:lineRule="exact"/>
        <w:jc w:val="center"/>
        <w:rPr>
          <w:rFonts w:eastAsia="黑体"/>
          <w:b/>
          <w:color w:val="000000" w:themeColor="text1"/>
          <w:sz w:val="32"/>
          <w:szCs w:val="32"/>
        </w:rPr>
      </w:pPr>
    </w:p>
    <w:p>
      <w:pPr>
        <w:adjustRightInd w:val="0"/>
        <w:snapToGrid w:val="0"/>
        <w:spacing w:line="300" w:lineRule="auto"/>
        <w:rPr>
          <w:rFonts w:eastAsia="黑体"/>
          <w:b/>
          <w:color w:val="000000" w:themeColor="text1"/>
          <w:sz w:val="32"/>
          <w:szCs w:val="32"/>
        </w:rPr>
      </w:pPr>
    </w:p>
    <w:p>
      <w:pPr>
        <w:adjustRightInd w:val="0"/>
        <w:snapToGrid w:val="0"/>
        <w:spacing w:line="300" w:lineRule="auto"/>
        <w:ind w:firstLine="1264" w:firstLineChars="395"/>
        <w:rPr>
          <w:rFonts w:ascii="仿宋" w:hAnsi="仿宋" w:eastAsia="仿宋"/>
          <w:bCs/>
          <w:color w:val="000000" w:themeColor="text1"/>
          <w:sz w:val="32"/>
          <w:szCs w:val="32"/>
        </w:rPr>
      </w:pPr>
      <w:r>
        <w:rPr>
          <w:rFonts w:ascii="仿宋" w:hAnsi="仿宋" w:eastAsia="仿宋"/>
          <w:bCs/>
          <w:color w:val="000000" w:themeColor="text1"/>
          <w:sz w:val="32"/>
          <w:szCs w:val="32"/>
        </w:rPr>
        <w:t>1．培养方案</w:t>
      </w:r>
      <w:r>
        <w:rPr>
          <w:rFonts w:hint="eastAsia" w:ascii="仿宋" w:hAnsi="仿宋" w:eastAsia="仿宋"/>
          <w:bCs/>
          <w:color w:val="000000" w:themeColor="text1"/>
          <w:sz w:val="32"/>
          <w:szCs w:val="32"/>
        </w:rPr>
        <w:t>(中国学生、来华留学生)</w:t>
      </w:r>
    </w:p>
    <w:p>
      <w:pPr>
        <w:adjustRightInd w:val="0"/>
        <w:snapToGrid w:val="0"/>
        <w:spacing w:line="300" w:lineRule="auto"/>
        <w:ind w:firstLine="1280" w:firstLineChars="400"/>
        <w:rPr>
          <w:rFonts w:ascii="仿宋" w:hAnsi="仿宋" w:eastAsia="仿宋" w:cs="仿宋"/>
          <w:color w:val="000000" w:themeColor="text1"/>
          <w:sz w:val="32"/>
          <w:szCs w:val="32"/>
        </w:rPr>
      </w:pPr>
      <w:r>
        <w:rPr>
          <w:rFonts w:ascii="仿宋" w:hAnsi="仿宋" w:eastAsia="仿宋"/>
          <w:bCs/>
          <w:color w:val="000000" w:themeColor="text1"/>
          <w:sz w:val="32"/>
          <w:szCs w:val="32"/>
        </w:rPr>
        <w:t xml:space="preserve">2. </w:t>
      </w:r>
      <w:r>
        <w:rPr>
          <w:rFonts w:hint="eastAsia" w:ascii="仿宋" w:hAnsi="仿宋" w:eastAsia="仿宋" w:cs="仿宋"/>
          <w:color w:val="000000" w:themeColor="text1"/>
          <w:sz w:val="32"/>
          <w:szCs w:val="32"/>
        </w:rPr>
        <w:t>学位课程教学大纲</w:t>
      </w:r>
    </w:p>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t xml:space="preserve">3. </w:t>
      </w:r>
      <w:r>
        <w:rPr>
          <w:rFonts w:ascii="仿宋" w:hAnsi="仿宋" w:eastAsia="仿宋"/>
          <w:bCs/>
          <w:color w:val="000000" w:themeColor="text1"/>
          <w:sz w:val="32"/>
          <w:szCs w:val="32"/>
        </w:rPr>
        <w:t>授课课程表、课程考核记录</w:t>
      </w:r>
    </w:p>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t>4</w:t>
      </w:r>
      <w:r>
        <w:rPr>
          <w:rFonts w:ascii="仿宋" w:hAnsi="仿宋" w:eastAsia="仿宋"/>
          <w:bCs/>
          <w:color w:val="000000" w:themeColor="text1"/>
          <w:sz w:val="32"/>
          <w:szCs w:val="32"/>
        </w:rPr>
        <w:t>. 教学管理制度文件</w:t>
      </w:r>
    </w:p>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t>5</w:t>
      </w:r>
      <w:r>
        <w:rPr>
          <w:rFonts w:ascii="仿宋" w:hAnsi="仿宋" w:eastAsia="仿宋"/>
          <w:bCs/>
          <w:color w:val="000000" w:themeColor="text1"/>
          <w:sz w:val="32"/>
          <w:szCs w:val="32"/>
        </w:rPr>
        <w:t>. 学位论文撰写与答辩制度文件</w:t>
      </w:r>
    </w:p>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t>6</w:t>
      </w:r>
      <w:r>
        <w:rPr>
          <w:rFonts w:ascii="仿宋" w:hAnsi="仿宋" w:eastAsia="仿宋"/>
          <w:bCs/>
          <w:color w:val="000000" w:themeColor="text1"/>
          <w:sz w:val="32"/>
          <w:szCs w:val="32"/>
        </w:rPr>
        <w:t>. 学校制定的其他有关文件</w:t>
      </w: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80" w:firstLineChars="400"/>
        <w:rPr>
          <w:rFonts w:ascii="仿宋" w:hAnsi="仿宋" w:eastAsia="仿宋"/>
          <w:bCs/>
          <w:color w:val="000000" w:themeColor="text1"/>
          <w:sz w:val="32"/>
          <w:szCs w:val="32"/>
        </w:rPr>
      </w:pPr>
    </w:p>
    <w:p>
      <w:pPr>
        <w:adjustRightInd w:val="0"/>
        <w:snapToGrid w:val="0"/>
        <w:spacing w:line="300" w:lineRule="auto"/>
        <w:ind w:firstLine="1264" w:firstLineChars="395"/>
        <w:rPr>
          <w:rFonts w:ascii="仿宋" w:hAnsi="仿宋" w:eastAsia="仿宋"/>
          <w:b/>
          <w:color w:val="000000" w:themeColor="text1"/>
          <w:sz w:val="32"/>
          <w:szCs w:val="32"/>
        </w:rPr>
      </w:pPr>
      <w:r>
        <w:rPr>
          <w:rFonts w:hint="eastAsia" w:ascii="仿宋" w:hAnsi="仿宋" w:eastAsia="仿宋"/>
          <w:b/>
          <w:color w:val="000000" w:themeColor="text1"/>
          <w:sz w:val="32"/>
          <w:szCs w:val="32"/>
        </w:rPr>
        <w:t>附录1.</w:t>
      </w:r>
      <w:r>
        <w:rPr>
          <w:rFonts w:ascii="仿宋" w:hAnsi="仿宋" w:eastAsia="仿宋"/>
          <w:b/>
          <w:color w:val="000000" w:themeColor="text1"/>
          <w:sz w:val="32"/>
          <w:szCs w:val="32"/>
        </w:rPr>
        <w:t>培养方案</w:t>
      </w:r>
    </w:p>
    <w:p>
      <w:pPr>
        <w:adjustRightInd w:val="0"/>
        <w:snapToGrid w:val="0"/>
        <w:spacing w:line="300" w:lineRule="auto"/>
        <w:ind w:firstLine="1280" w:firstLineChars="400"/>
        <w:rPr>
          <w:rFonts w:ascii="仿宋" w:hAnsi="仿宋" w:eastAsia="仿宋"/>
          <w:bCs/>
          <w:color w:val="000000" w:themeColor="text1"/>
          <w:sz w:val="32"/>
          <w:szCs w:val="32"/>
        </w:rPr>
      </w:pPr>
    </w:p>
    <w:p>
      <w:pPr>
        <w:pStyle w:val="53"/>
        <w:rPr>
          <w:color w:val="000000" w:themeColor="text1"/>
        </w:rPr>
      </w:pPr>
      <w:r>
        <w:rPr>
          <w:rFonts w:hint="eastAsia"/>
          <w:color w:val="000000" w:themeColor="text1"/>
        </w:rPr>
        <w:t>人文与国际教育学院</w:t>
      </w:r>
    </w:p>
    <w:p>
      <w:pPr>
        <w:pStyle w:val="53"/>
        <w:rPr>
          <w:color w:val="000000" w:themeColor="text1"/>
        </w:rPr>
      </w:pPr>
      <w:r>
        <w:rPr>
          <w:rFonts w:hint="eastAsia"/>
          <w:color w:val="000000" w:themeColor="text1"/>
        </w:rPr>
        <w:t>汉语国际教育硕士专业学位研究生培养方案</w:t>
      </w:r>
    </w:p>
    <w:p>
      <w:pPr>
        <w:pStyle w:val="54"/>
        <w:rPr>
          <w:color w:val="000000" w:themeColor="text1"/>
        </w:rPr>
      </w:pPr>
      <w:r>
        <w:rPr>
          <w:rFonts w:hint="eastAsia"/>
          <w:color w:val="000000" w:themeColor="text1"/>
        </w:rPr>
        <w:t>（一级学科代码：045300）</w:t>
      </w:r>
    </w:p>
    <w:p>
      <w:pPr>
        <w:pStyle w:val="54"/>
        <w:rPr>
          <w:color w:val="000000" w:themeColor="text1"/>
        </w:rPr>
      </w:pPr>
      <w:r>
        <w:rPr>
          <w:rFonts w:hint="eastAsia"/>
          <w:color w:val="000000" w:themeColor="text1"/>
        </w:rPr>
        <w:t>（适用于中国学生）</w:t>
      </w:r>
    </w:p>
    <w:p>
      <w:pPr>
        <w:pStyle w:val="55"/>
        <w:spacing w:before="156"/>
        <w:rPr>
          <w:color w:val="000000" w:themeColor="text1"/>
        </w:rPr>
      </w:pPr>
      <w:r>
        <w:rPr>
          <w:rFonts w:hint="eastAsia"/>
          <w:color w:val="000000" w:themeColor="text1"/>
        </w:rPr>
        <w:t>一、培养目标</w:t>
      </w:r>
    </w:p>
    <w:p>
      <w:pPr>
        <w:pStyle w:val="56"/>
        <w:spacing w:before="156"/>
        <w:rPr>
          <w:rFonts w:cs="Arial"/>
          <w:b/>
          <w:bCs/>
          <w:color w:val="000000" w:themeColor="text1"/>
          <w:spacing w:val="6"/>
        </w:rPr>
      </w:pPr>
      <w:r>
        <w:rPr>
          <w:rFonts w:hint="eastAsia"/>
          <w:color w:val="000000" w:themeColor="text1"/>
        </w:rPr>
        <w:t>汉语国际教育硕士专业学位研究生的培养目标是：按照实践性、复合型、国际化的人才培养要求，培养适应能力强、有较全面的实用教学技能的国际汉语教师；把外语能力、汉语知识、文化素养和教学技能有机地结合起来，突出实用性，课堂教学与社会实践并重，汉语外语并重，适当加入中华才艺等技能性课程；学生毕业后能在各级各类学校、教学机构从事汉语教学，也能在政府部门、公司或企业等机构从事与汉语或中华文化相关的工作。</w:t>
      </w:r>
    </w:p>
    <w:p>
      <w:pPr>
        <w:pStyle w:val="55"/>
        <w:spacing w:before="156"/>
        <w:rPr>
          <w:color w:val="000000" w:themeColor="text1"/>
        </w:rPr>
      </w:pPr>
      <w:r>
        <w:rPr>
          <w:rFonts w:hint="eastAsia"/>
          <w:color w:val="000000" w:themeColor="text1"/>
        </w:rPr>
        <w:t>二、学科方向</w:t>
      </w:r>
    </w:p>
    <w:p>
      <w:pPr>
        <w:pStyle w:val="56"/>
        <w:spacing w:before="156"/>
        <w:rPr>
          <w:rFonts w:cs="Arial"/>
          <w:b/>
          <w:color w:val="000000" w:themeColor="text1"/>
          <w:spacing w:val="6"/>
        </w:rPr>
      </w:pPr>
      <w:r>
        <w:rPr>
          <w:rFonts w:hint="eastAsia"/>
          <w:color w:val="000000" w:themeColor="text1"/>
        </w:rPr>
        <w:t>汉语国际教育</w:t>
      </w:r>
    </w:p>
    <w:p>
      <w:pPr>
        <w:pStyle w:val="55"/>
        <w:spacing w:before="156"/>
        <w:rPr>
          <w:color w:val="000000" w:themeColor="text1"/>
        </w:rPr>
      </w:pPr>
      <w:r>
        <w:rPr>
          <w:rFonts w:hint="eastAsia"/>
          <w:color w:val="000000" w:themeColor="text1"/>
        </w:rPr>
        <w:t>三、学习年限</w:t>
      </w:r>
    </w:p>
    <w:p>
      <w:pPr>
        <w:pStyle w:val="56"/>
        <w:spacing w:before="156"/>
        <w:rPr>
          <w:color w:val="000000" w:themeColor="text1"/>
        </w:rPr>
      </w:pPr>
      <w:r>
        <w:rPr>
          <w:rFonts w:hint="eastAsia"/>
          <w:color w:val="000000" w:themeColor="text1"/>
        </w:rPr>
        <w:t>汉语国际教育硕士专业学位研究生基本学制为2.5年。学习年限最长为5年（含休学时间）。</w:t>
      </w:r>
    </w:p>
    <w:p>
      <w:pPr>
        <w:pStyle w:val="55"/>
        <w:spacing w:before="156"/>
        <w:rPr>
          <w:color w:val="000000" w:themeColor="text1"/>
        </w:rPr>
      </w:pPr>
      <w:r>
        <w:rPr>
          <w:rFonts w:hint="eastAsia"/>
          <w:color w:val="000000" w:themeColor="text1"/>
        </w:rPr>
        <w:t>四、课程设置与学分要求</w:t>
      </w:r>
    </w:p>
    <w:p>
      <w:pPr>
        <w:pStyle w:val="56"/>
        <w:spacing w:before="156"/>
        <w:rPr>
          <w:bCs/>
          <w:color w:val="000000" w:themeColor="text1"/>
          <w:spacing w:val="6"/>
        </w:rPr>
      </w:pPr>
      <w:r>
        <w:rPr>
          <w:rFonts w:hint="eastAsia"/>
          <w:color w:val="000000" w:themeColor="text1"/>
        </w:rPr>
        <w:t>攻读本学科硕士专业学位研究生需获得学位课（必修课）18学分，学科学位选修课</w:t>
      </w:r>
      <w:r>
        <w:rPr>
          <w:color w:val="000000" w:themeColor="text1"/>
        </w:rPr>
        <w:t>12</w:t>
      </w:r>
      <w:r>
        <w:rPr>
          <w:rFonts w:hint="eastAsia"/>
          <w:color w:val="000000" w:themeColor="text1"/>
        </w:rPr>
        <w:t>学分，必修环节不少于8学分，总学分最低3</w:t>
      </w:r>
      <w:r>
        <w:rPr>
          <w:color w:val="000000" w:themeColor="text1"/>
        </w:rPr>
        <w:t>8</w:t>
      </w:r>
      <w:r>
        <w:rPr>
          <w:rFonts w:hint="eastAsia"/>
          <w:color w:val="000000" w:themeColor="text1"/>
        </w:rPr>
        <w:t>学分。</w:t>
      </w:r>
      <w:r>
        <w:rPr>
          <w:rFonts w:hint="eastAsia"/>
          <w:bCs/>
          <w:color w:val="000000" w:themeColor="text1"/>
          <w:spacing w:val="6"/>
        </w:rPr>
        <w:t>具体课程设置附后。</w:t>
      </w:r>
      <w:r>
        <w:rPr>
          <w:bCs/>
          <w:color w:val="000000" w:themeColor="text1"/>
          <w:spacing w:val="6"/>
        </w:rPr>
        <w:tab/>
      </w:r>
    </w:p>
    <w:p>
      <w:pPr>
        <w:pStyle w:val="55"/>
        <w:spacing w:before="156"/>
        <w:rPr>
          <w:color w:val="000000" w:themeColor="text1"/>
        </w:rPr>
      </w:pPr>
      <w:r>
        <w:rPr>
          <w:rFonts w:hint="eastAsia"/>
          <w:color w:val="000000" w:themeColor="text1"/>
        </w:rPr>
        <w:t>五、培养方式</w:t>
      </w:r>
    </w:p>
    <w:p>
      <w:pPr>
        <w:pStyle w:val="56"/>
        <w:spacing w:before="156"/>
        <w:rPr>
          <w:color w:val="000000" w:themeColor="text1"/>
        </w:rPr>
      </w:pPr>
      <w:r>
        <w:rPr>
          <w:rFonts w:hint="eastAsia"/>
          <w:color w:val="000000" w:themeColor="text1"/>
        </w:rPr>
        <w:t>采用课程学习与汉语国际教育实践相结合，汉语国际教育与中华文化传播相结合，导师指导与实习指导教师指导相结合的培养方式。</w:t>
      </w:r>
    </w:p>
    <w:p>
      <w:pPr>
        <w:pStyle w:val="56"/>
        <w:spacing w:before="156"/>
        <w:rPr>
          <w:color w:val="000000" w:themeColor="text1"/>
        </w:rPr>
      </w:pPr>
      <w:r>
        <w:rPr>
          <w:rFonts w:hint="eastAsia"/>
          <w:color w:val="000000" w:themeColor="text1"/>
        </w:rPr>
        <w:t>具体参照</w:t>
      </w:r>
      <w:r>
        <w:rPr>
          <w:rFonts w:hint="eastAsia"/>
          <w:color w:val="000000" w:themeColor="text1"/>
          <w:szCs w:val="21"/>
        </w:rPr>
        <w:t>《浙江科技学院关于制订硕士研究生培养方案的指导意见》（</w:t>
      </w:r>
      <w:r>
        <w:rPr>
          <w:color w:val="000000" w:themeColor="text1"/>
          <w:kern w:val="0"/>
          <w:szCs w:val="21"/>
        </w:rPr>
        <w:t>浙科院研〔2012〕1号</w:t>
      </w:r>
      <w:r>
        <w:rPr>
          <w:rFonts w:hint="eastAsia"/>
          <w:color w:val="000000" w:themeColor="text1"/>
          <w:kern w:val="0"/>
          <w:szCs w:val="21"/>
        </w:rPr>
        <w:t>）</w:t>
      </w:r>
      <w:r>
        <w:rPr>
          <w:rFonts w:hint="eastAsia"/>
          <w:color w:val="000000" w:themeColor="text1"/>
          <w:szCs w:val="21"/>
        </w:rPr>
        <w:t>执行。</w:t>
      </w:r>
    </w:p>
    <w:p>
      <w:pPr>
        <w:spacing w:beforeLines="50" w:line="360" w:lineRule="auto"/>
        <w:ind w:right="30"/>
        <w:rPr>
          <w:rFonts w:ascii="黑体" w:hAnsi="宋体" w:eastAsia="黑体" w:cs="Arial"/>
          <w:b/>
          <w:bCs/>
          <w:color w:val="000000" w:themeColor="text1"/>
          <w:spacing w:val="6"/>
          <w:kern w:val="0"/>
          <w:sz w:val="24"/>
        </w:rPr>
      </w:pPr>
      <w:r>
        <w:rPr>
          <w:rFonts w:hint="eastAsia" w:ascii="黑体" w:hAnsi="宋体" w:eastAsia="黑体" w:cs="Arial"/>
          <w:b/>
          <w:bCs/>
          <w:color w:val="000000" w:themeColor="text1"/>
          <w:spacing w:val="6"/>
          <w:kern w:val="0"/>
          <w:sz w:val="24"/>
        </w:rPr>
        <w:t>六、培养过程实施</w:t>
      </w:r>
    </w:p>
    <w:p>
      <w:pPr>
        <w:adjustRightInd w:val="0"/>
        <w:snapToGrid w:val="0"/>
        <w:spacing w:line="360" w:lineRule="auto"/>
        <w:ind w:firstLine="420" w:firstLineChars="200"/>
        <w:jc w:val="left"/>
        <w:rPr>
          <w:color w:val="000000" w:themeColor="text1"/>
        </w:rPr>
      </w:pPr>
      <w:r>
        <w:rPr>
          <w:rFonts w:hint="eastAsia" w:ascii="宋体" w:hAnsi="宋体"/>
          <w:color w:val="000000" w:themeColor="text1"/>
          <w:szCs w:val="21"/>
        </w:rPr>
        <w:t xml:space="preserve"> 按照 《</w:t>
      </w:r>
      <w:r>
        <w:rPr>
          <w:rFonts w:hint="eastAsia" w:ascii="宋体" w:hAnsi="宋体" w:cs="宋体"/>
          <w:color w:val="000000" w:themeColor="text1"/>
          <w:kern w:val="0"/>
          <w:szCs w:val="21"/>
        </w:rPr>
        <w:t>浙江科技学院全日制汉语国际教育和工程硕士专业学位研究生培养工作规定（试行）</w:t>
      </w:r>
      <w:r>
        <w:rPr>
          <w:rFonts w:hint="eastAsia" w:ascii="宋体" w:hAnsi="宋体"/>
          <w:color w:val="000000" w:themeColor="text1"/>
          <w:szCs w:val="21"/>
        </w:rPr>
        <w:t>》（</w:t>
      </w:r>
      <w:r>
        <w:rPr>
          <w:rFonts w:ascii="宋体" w:hAnsi="宋体" w:cs="宋体"/>
          <w:color w:val="000000" w:themeColor="text1"/>
          <w:kern w:val="0"/>
          <w:szCs w:val="21"/>
        </w:rPr>
        <w:t>浙科院研〔201</w:t>
      </w:r>
      <w:r>
        <w:rPr>
          <w:rFonts w:hint="eastAsia" w:ascii="宋体" w:hAnsi="宋体" w:cs="宋体"/>
          <w:color w:val="000000" w:themeColor="text1"/>
          <w:kern w:val="0"/>
          <w:szCs w:val="21"/>
        </w:rPr>
        <w:t>5</w:t>
      </w:r>
      <w:r>
        <w:rPr>
          <w:rFonts w:ascii="宋体" w:hAnsi="宋体" w:cs="宋体"/>
          <w:color w:val="000000" w:themeColor="text1"/>
          <w:kern w:val="0"/>
          <w:szCs w:val="21"/>
        </w:rPr>
        <w:t>〕</w:t>
      </w:r>
      <w:r>
        <w:rPr>
          <w:rFonts w:hint="eastAsia" w:ascii="宋体" w:hAnsi="宋体" w:cs="宋体"/>
          <w:color w:val="000000" w:themeColor="text1"/>
          <w:kern w:val="0"/>
          <w:szCs w:val="21"/>
        </w:rPr>
        <w:t>11</w:t>
      </w:r>
      <w:r>
        <w:rPr>
          <w:rFonts w:ascii="宋体" w:hAnsi="宋体" w:cs="宋体"/>
          <w:color w:val="000000" w:themeColor="text1"/>
          <w:kern w:val="0"/>
          <w:szCs w:val="21"/>
        </w:rPr>
        <w:t>号</w:t>
      </w:r>
      <w:r>
        <w:rPr>
          <w:rFonts w:hint="eastAsia" w:ascii="宋体" w:hAnsi="宋体" w:cs="宋体"/>
          <w:color w:val="000000" w:themeColor="text1"/>
          <w:kern w:val="0"/>
          <w:szCs w:val="21"/>
        </w:rPr>
        <w:t>）</w:t>
      </w:r>
      <w:r>
        <w:rPr>
          <w:rFonts w:hint="eastAsia" w:ascii="宋体" w:hAnsi="宋体"/>
          <w:color w:val="000000" w:themeColor="text1"/>
          <w:szCs w:val="21"/>
        </w:rPr>
        <w:t>执行。</w:t>
      </w:r>
    </w:p>
    <w:p>
      <w:pPr>
        <w:pStyle w:val="58"/>
        <w:spacing w:before="156"/>
        <w:jc w:val="center"/>
        <w:rPr>
          <w:color w:val="000000" w:themeColor="text1"/>
        </w:rPr>
      </w:pPr>
    </w:p>
    <w:p>
      <w:pPr>
        <w:pStyle w:val="58"/>
        <w:spacing w:before="156"/>
        <w:jc w:val="center"/>
        <w:rPr>
          <w:color w:val="000000" w:themeColor="text1"/>
        </w:rPr>
      </w:pPr>
      <w:r>
        <w:rPr>
          <w:rFonts w:hint="eastAsia"/>
          <w:color w:val="000000" w:themeColor="text1"/>
        </w:rPr>
        <w:t>汉语国际教育硕士专业学位研究生课程设置</w:t>
      </w:r>
    </w:p>
    <w:p>
      <w:pPr>
        <w:rPr>
          <w:rFonts w:ascii="楷体_GB2312" w:eastAsia="楷体_GB2312"/>
          <w:color w:val="000000" w:themeColor="text1"/>
          <w:sz w:val="18"/>
          <w:szCs w:val="18"/>
        </w:rPr>
      </w:pPr>
    </w:p>
    <w:tbl>
      <w:tblPr>
        <w:tblStyle w:val="30"/>
        <w:tblpPr w:leftFromText="180" w:rightFromText="180" w:vertAnchor="text" w:horzAnchor="page" w:tblpX="2152" w:tblpY="65"/>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360"/>
        <w:gridCol w:w="720"/>
        <w:gridCol w:w="1080"/>
        <w:gridCol w:w="1968"/>
        <w:gridCol w:w="708"/>
        <w:gridCol w:w="567"/>
        <w:gridCol w:w="709"/>
        <w:gridCol w:w="8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trPr>
        <w:tc>
          <w:tcPr>
            <w:tcW w:w="735" w:type="dxa"/>
            <w:gridSpan w:val="2"/>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类别</w:t>
            </w:r>
          </w:p>
        </w:tc>
        <w:tc>
          <w:tcPr>
            <w:tcW w:w="720"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课程</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编号</w:t>
            </w:r>
          </w:p>
        </w:tc>
        <w:tc>
          <w:tcPr>
            <w:tcW w:w="3048" w:type="dxa"/>
            <w:gridSpan w:val="2"/>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课程名称</w:t>
            </w:r>
          </w:p>
        </w:tc>
        <w:tc>
          <w:tcPr>
            <w:tcW w:w="708"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总学时</w:t>
            </w:r>
          </w:p>
        </w:tc>
        <w:tc>
          <w:tcPr>
            <w:tcW w:w="567"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学分</w:t>
            </w:r>
          </w:p>
        </w:tc>
        <w:tc>
          <w:tcPr>
            <w:tcW w:w="709"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开课学期</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考核</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方式</w:t>
            </w:r>
          </w:p>
        </w:tc>
        <w:tc>
          <w:tcPr>
            <w:tcW w:w="708" w:type="dxa"/>
          </w:tcPr>
          <w:p>
            <w:pPr>
              <w:adjustRightInd w:val="0"/>
              <w:snapToGrid w:val="0"/>
              <w:jc w:val="center"/>
              <w:rPr>
                <w:rFonts w:ascii="宋体"/>
                <w:color w:val="000000" w:themeColor="text1"/>
                <w:sz w:val="18"/>
                <w:szCs w:val="18"/>
              </w:rPr>
            </w:pPr>
          </w:p>
          <w:p>
            <w:pPr>
              <w:adjustRightInd w:val="0"/>
              <w:snapToGrid w:val="0"/>
              <w:rPr>
                <w:rFonts w:ascii="宋体"/>
                <w:color w:val="000000" w:themeColor="text1"/>
                <w:sz w:val="18"/>
                <w:szCs w:val="18"/>
              </w:rPr>
            </w:pPr>
            <w:r>
              <w:rPr>
                <w:rFonts w:hint="eastAsia" w:ascii="宋体" w:hAnsi="宋体"/>
                <w:color w:val="000000" w:themeColor="text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735" w:type="dxa"/>
            <w:gridSpan w:val="2"/>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公</w:t>
            </w:r>
          </w:p>
          <w:p>
            <w:pPr>
              <w:adjustRightInd w:val="0"/>
              <w:snapToGrid w:val="0"/>
              <w:rPr>
                <w:rFonts w:ascii="宋体"/>
                <w:color w:val="000000" w:themeColor="text1"/>
                <w:sz w:val="18"/>
                <w:szCs w:val="18"/>
              </w:rPr>
            </w:pPr>
            <w:r>
              <w:rPr>
                <w:rFonts w:hint="eastAsia" w:ascii="宋体" w:hAnsi="宋体"/>
                <w:color w:val="000000" w:themeColor="text1"/>
                <w:sz w:val="18"/>
                <w:szCs w:val="18"/>
              </w:rPr>
              <w:t>共</w:t>
            </w:r>
          </w:p>
          <w:p>
            <w:pPr>
              <w:adjustRightInd w:val="0"/>
              <w:snapToGrid w:val="0"/>
              <w:rPr>
                <w:rFonts w:ascii="宋体"/>
                <w:color w:val="000000" w:themeColor="text1"/>
                <w:sz w:val="18"/>
                <w:szCs w:val="18"/>
              </w:rPr>
            </w:pPr>
            <w:r>
              <w:rPr>
                <w:rFonts w:hint="eastAsia" w:ascii="宋体" w:hAnsi="宋体"/>
                <w:color w:val="000000" w:themeColor="text1"/>
                <w:sz w:val="18"/>
                <w:szCs w:val="18"/>
              </w:rPr>
              <w:t>学</w:t>
            </w:r>
          </w:p>
          <w:p>
            <w:pPr>
              <w:adjustRightInd w:val="0"/>
              <w:snapToGrid w:val="0"/>
              <w:rPr>
                <w:rFonts w:ascii="宋体"/>
                <w:color w:val="000000" w:themeColor="text1"/>
                <w:sz w:val="18"/>
                <w:szCs w:val="18"/>
              </w:rPr>
            </w:pPr>
            <w:r>
              <w:rPr>
                <w:rFonts w:hint="eastAsia" w:ascii="宋体" w:hAnsi="宋体"/>
                <w:color w:val="000000" w:themeColor="text1"/>
                <w:sz w:val="18"/>
                <w:szCs w:val="18"/>
              </w:rPr>
              <w:t>位</w:t>
            </w:r>
          </w:p>
          <w:p>
            <w:pPr>
              <w:adjustRightInd w:val="0"/>
              <w:snapToGrid w:val="0"/>
              <w:rPr>
                <w:rFonts w:ascii="宋体"/>
                <w:color w:val="000000" w:themeColor="text1"/>
                <w:sz w:val="18"/>
                <w:szCs w:val="18"/>
              </w:rPr>
            </w:pPr>
            <w:r>
              <w:rPr>
                <w:rFonts w:hint="eastAsia" w:ascii="宋体" w:hAnsi="宋体"/>
                <w:color w:val="000000" w:themeColor="text1"/>
                <w:sz w:val="18"/>
                <w:szCs w:val="18"/>
              </w:rPr>
              <w:t>课</w:t>
            </w: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00001</w:t>
            </w:r>
            <w:r>
              <w:rPr>
                <w:color w:val="000000" w:themeColor="text1"/>
                <w:sz w:val="15"/>
                <w:szCs w:val="15"/>
              </w:rPr>
              <w:t>5</w:t>
            </w:r>
            <w:r>
              <w:rPr>
                <w:rFonts w:hint="eastAsia"/>
                <w:color w:val="000000" w:themeColor="text1"/>
                <w:sz w:val="15"/>
                <w:szCs w:val="15"/>
              </w:rPr>
              <w:t>2001</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中国特色社会主义理论与实践研究</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restart"/>
            <w:vAlign w:val="center"/>
          </w:tcPr>
          <w:p>
            <w:pPr>
              <w:adjustRightInd w:val="0"/>
              <w:snapToGrid w:val="0"/>
              <w:jc w:val="left"/>
              <w:rPr>
                <w:rFonts w:ascii="宋体"/>
                <w:color w:val="000000" w:themeColor="text1"/>
                <w:szCs w:val="21"/>
              </w:rPr>
            </w:pPr>
            <w:r>
              <w:rPr>
                <w:rFonts w:hint="eastAsia" w:ascii="宋体"/>
                <w:color w:val="000000" w:themeColor="text1"/>
                <w:sz w:val="18"/>
                <w:szCs w:val="18"/>
              </w:rPr>
              <w:t>必修</w:t>
            </w:r>
            <w:r>
              <w:rPr>
                <w:color w:val="000000" w:themeColor="text1"/>
                <w:sz w:val="18"/>
                <w:szCs w:val="18"/>
              </w:rPr>
              <w:t>6</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000009</w:t>
            </w:r>
            <w:r>
              <w:rPr>
                <w:color w:val="000000" w:themeColor="text1"/>
                <w:sz w:val="15"/>
                <w:szCs w:val="15"/>
              </w:rPr>
              <w:t>3</w:t>
            </w:r>
            <w:r>
              <w:rPr>
                <w:rFonts w:hint="eastAsia"/>
                <w:color w:val="000000" w:themeColor="text1"/>
                <w:sz w:val="15"/>
                <w:szCs w:val="15"/>
              </w:rPr>
              <w:t>00</w:t>
            </w:r>
            <w:r>
              <w:rPr>
                <w:color w:val="000000" w:themeColor="text1"/>
                <w:sz w:val="15"/>
                <w:szCs w:val="15"/>
              </w:rPr>
              <w:t>3</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硕士英语</w:t>
            </w:r>
            <w:r>
              <w:rPr>
                <w:rFonts w:ascii="宋体" w:hAnsi="宋体"/>
                <w:color w:val="000000" w:themeColor="text1"/>
                <w:sz w:val="18"/>
                <w:szCs w:val="18"/>
              </w:rPr>
              <w:t>2</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rFonts w:ascii="宋体"/>
                <w:color w:val="000000" w:themeColor="text1"/>
                <w:szCs w:val="21"/>
              </w:rPr>
            </w:pPr>
            <w:r>
              <w:rPr>
                <w:rFonts w:hint="eastAsia"/>
                <w:color w:val="000000" w:themeColor="text1"/>
                <w:sz w:val="15"/>
                <w:szCs w:val="15"/>
              </w:rPr>
              <w:t>000009</w:t>
            </w:r>
            <w:r>
              <w:rPr>
                <w:color w:val="000000" w:themeColor="text1"/>
                <w:sz w:val="15"/>
                <w:szCs w:val="15"/>
              </w:rPr>
              <w:t>1</w:t>
            </w:r>
            <w:r>
              <w:rPr>
                <w:rFonts w:hint="eastAsia"/>
                <w:color w:val="000000" w:themeColor="text1"/>
                <w:sz w:val="15"/>
                <w:szCs w:val="15"/>
              </w:rPr>
              <w:t>002</w:t>
            </w:r>
          </w:p>
        </w:tc>
        <w:tc>
          <w:tcPr>
            <w:tcW w:w="3048" w:type="dxa"/>
            <w:gridSpan w:val="2"/>
            <w:vAlign w:val="center"/>
          </w:tcPr>
          <w:p>
            <w:pPr>
              <w:pStyle w:val="10"/>
              <w:adjustRightInd w:val="0"/>
              <w:snapToGrid w:val="0"/>
              <w:ind w:firstLine="0" w:firstLineChars="0"/>
              <w:rPr>
                <w:rFonts w:ascii="宋体"/>
                <w:color w:val="000000" w:themeColor="text1"/>
                <w:sz w:val="18"/>
                <w:szCs w:val="18"/>
              </w:rPr>
            </w:pPr>
            <w:r>
              <w:rPr>
                <w:rFonts w:hint="eastAsia" w:ascii="宋体" w:hAnsi="宋体"/>
                <w:color w:val="000000" w:themeColor="text1"/>
                <w:sz w:val="18"/>
                <w:szCs w:val="18"/>
              </w:rPr>
              <w:t>硕士英语口语</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trPr>
        <w:tc>
          <w:tcPr>
            <w:tcW w:w="375"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学</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科</w:t>
            </w:r>
          </w:p>
          <w:p>
            <w:pPr>
              <w:adjustRightInd w:val="0"/>
              <w:snapToGrid w:val="0"/>
              <w:jc w:val="center"/>
              <w:rPr>
                <w:rFonts w:ascii="宋体"/>
                <w:color w:val="000000" w:themeColor="text1"/>
                <w:sz w:val="18"/>
                <w:szCs w:val="18"/>
              </w:rPr>
            </w:pPr>
            <w:r>
              <w:rPr>
                <w:rFonts w:hint="eastAsia" w:ascii="宋体"/>
                <w:color w:val="000000" w:themeColor="text1"/>
                <w:sz w:val="18"/>
                <w:szCs w:val="18"/>
              </w:rPr>
              <w:t>学位</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课</w:t>
            </w:r>
          </w:p>
        </w:tc>
        <w:tc>
          <w:tcPr>
            <w:tcW w:w="360" w:type="dxa"/>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核心课程</w:t>
            </w: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1504534001</w:t>
            </w:r>
          </w:p>
        </w:tc>
        <w:tc>
          <w:tcPr>
            <w:tcW w:w="3048" w:type="dxa"/>
            <w:gridSpan w:val="2"/>
            <w:vAlign w:val="center"/>
          </w:tcPr>
          <w:p>
            <w:pPr>
              <w:pStyle w:val="10"/>
              <w:adjustRightInd w:val="0"/>
              <w:snapToGrid w:val="0"/>
              <w:ind w:firstLine="0" w:firstLineChars="0"/>
              <w:rPr>
                <w:rFonts w:ascii="宋体" w:hAnsi="宋体"/>
                <w:color w:val="000000" w:themeColor="text1"/>
                <w:sz w:val="18"/>
                <w:szCs w:val="18"/>
              </w:rPr>
            </w:pPr>
            <w:r>
              <w:rPr>
                <w:rFonts w:hint="eastAsia" w:ascii="宋体" w:hAnsi="宋体" w:cs="宋体"/>
                <w:color w:val="000000" w:themeColor="text1"/>
                <w:kern w:val="0"/>
                <w:sz w:val="18"/>
                <w:szCs w:val="18"/>
              </w:rPr>
              <w:t>汉语作为第二语言教学</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64</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4</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851" w:type="dxa"/>
            <w:vAlign w:val="center"/>
          </w:tcPr>
          <w:p>
            <w:pPr>
              <w:adjustRightInd w:val="0"/>
              <w:snapToGrid w:val="0"/>
              <w:jc w:val="center"/>
              <w:rPr>
                <w:rFonts w:ascii="宋体" w:hAnsi="宋体"/>
                <w:color w:val="000000" w:themeColor="text1"/>
                <w:sz w:val="18"/>
                <w:szCs w:val="18"/>
              </w:rPr>
            </w:pPr>
            <w:r>
              <w:rPr>
                <w:rFonts w:hint="eastAsia" w:ascii="宋体" w:hAnsi="宋体"/>
                <w:color w:val="000000" w:themeColor="text1"/>
                <w:sz w:val="18"/>
                <w:szCs w:val="18"/>
              </w:rPr>
              <w:t>考试</w:t>
            </w:r>
          </w:p>
        </w:tc>
        <w:tc>
          <w:tcPr>
            <w:tcW w:w="708" w:type="dxa"/>
            <w:vMerge w:val="restart"/>
            <w:vAlign w:val="center"/>
          </w:tcPr>
          <w:p>
            <w:pPr>
              <w:adjustRightInd w:val="0"/>
              <w:snapToGrid w:val="0"/>
              <w:jc w:val="left"/>
              <w:rPr>
                <w:rFonts w:ascii="宋体"/>
                <w:color w:val="000000" w:themeColor="text1"/>
                <w:sz w:val="18"/>
                <w:szCs w:val="18"/>
              </w:rPr>
            </w:pPr>
            <w:r>
              <w:rPr>
                <w:rFonts w:hint="eastAsia" w:ascii="宋体"/>
                <w:color w:val="000000" w:themeColor="text1"/>
                <w:sz w:val="18"/>
                <w:szCs w:val="18"/>
              </w:rPr>
              <w:t>必修</w:t>
            </w:r>
            <w:r>
              <w:rPr>
                <w:color w:val="000000" w:themeColor="text1"/>
                <w:sz w:val="18"/>
                <w:szCs w:val="18"/>
              </w:rPr>
              <w:t>12</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1504532002</w:t>
            </w:r>
          </w:p>
        </w:tc>
        <w:tc>
          <w:tcPr>
            <w:tcW w:w="3048" w:type="dxa"/>
            <w:gridSpan w:val="2"/>
          </w:tcPr>
          <w:p>
            <w:pPr>
              <w:rPr>
                <w:rFonts w:ascii="宋体"/>
                <w:color w:val="000000" w:themeColor="text1"/>
                <w:sz w:val="18"/>
                <w:szCs w:val="18"/>
              </w:rPr>
            </w:pPr>
            <w:r>
              <w:rPr>
                <w:rFonts w:hint="eastAsia" w:ascii="宋体" w:hAnsi="宋体" w:cs="宋体"/>
                <w:color w:val="000000" w:themeColor="text1"/>
                <w:kern w:val="0"/>
                <w:sz w:val="18"/>
                <w:szCs w:val="18"/>
              </w:rPr>
              <w:t>第二语言习得</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jc w:val="left"/>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1504532003</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国外汉语课堂教学案例</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1504532004</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中华文化与传播</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tcPr>
          <w:p>
            <w:pPr>
              <w:adjustRightInd w:val="0"/>
              <w:snapToGrid w:val="0"/>
              <w:rPr>
                <w:color w:val="000000" w:themeColor="text1"/>
                <w:sz w:val="15"/>
                <w:szCs w:val="15"/>
              </w:rPr>
            </w:pPr>
            <w:r>
              <w:rPr>
                <w:rFonts w:hint="eastAsia"/>
                <w:color w:val="000000" w:themeColor="text1"/>
                <w:sz w:val="15"/>
                <w:szCs w:val="15"/>
              </w:rPr>
              <w:t>1504532005</w:t>
            </w:r>
          </w:p>
        </w:tc>
        <w:tc>
          <w:tcPr>
            <w:tcW w:w="3048" w:type="dxa"/>
            <w:gridSpan w:val="2"/>
          </w:tcPr>
          <w:p>
            <w:pPr>
              <w:rPr>
                <w:rFonts w:ascii="宋体"/>
                <w:color w:val="000000" w:themeColor="text1"/>
                <w:sz w:val="18"/>
                <w:szCs w:val="18"/>
              </w:rPr>
            </w:pPr>
            <w:r>
              <w:rPr>
                <w:rFonts w:ascii="宋体" w:hAnsi="宋体" w:cs="宋体"/>
                <w:color w:val="000000" w:themeColor="text1"/>
                <w:kern w:val="0"/>
                <w:sz w:val="18"/>
                <w:szCs w:val="18"/>
              </w:rPr>
              <w:t>跨文化交际</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1</w:t>
            </w:r>
          </w:p>
        </w:tc>
        <w:tc>
          <w:tcPr>
            <w:tcW w:w="851" w:type="dxa"/>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考试</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trPr>
        <w:tc>
          <w:tcPr>
            <w:tcW w:w="375" w:type="dxa"/>
            <w:vMerge w:val="continue"/>
            <w:vAlign w:val="center"/>
          </w:tcPr>
          <w:p>
            <w:pPr>
              <w:adjustRightInd w:val="0"/>
              <w:snapToGrid w:val="0"/>
              <w:jc w:val="center"/>
              <w:rPr>
                <w:rFonts w:ascii="宋体"/>
                <w:color w:val="000000" w:themeColor="text1"/>
                <w:sz w:val="18"/>
                <w:szCs w:val="18"/>
              </w:rPr>
            </w:pPr>
          </w:p>
        </w:tc>
        <w:tc>
          <w:tcPr>
            <w:tcW w:w="360"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扩展课程</w:t>
            </w:r>
          </w:p>
        </w:tc>
        <w:tc>
          <w:tcPr>
            <w:tcW w:w="720" w:type="dxa"/>
            <w:vMerge w:val="restart"/>
          </w:tcPr>
          <w:p>
            <w:pPr>
              <w:pStyle w:val="10"/>
              <w:adjustRightInd w:val="0"/>
              <w:snapToGrid w:val="0"/>
              <w:ind w:firstLine="0" w:firstLineChars="0"/>
              <w:rPr>
                <w:rFonts w:ascii="宋体" w:hAnsi="宋体"/>
                <w:color w:val="000000" w:themeColor="text1"/>
                <w:sz w:val="18"/>
                <w:szCs w:val="18"/>
              </w:rPr>
            </w:pPr>
            <w:r>
              <w:rPr>
                <w:rFonts w:hint="eastAsia" w:ascii="宋体" w:hAnsi="宋体"/>
                <w:color w:val="000000" w:themeColor="text1"/>
                <w:sz w:val="18"/>
                <w:szCs w:val="18"/>
              </w:rPr>
              <w:t>汉语知识及其教学类</w:t>
            </w:r>
          </w:p>
        </w:tc>
        <w:tc>
          <w:tcPr>
            <w:tcW w:w="1080" w:type="dxa"/>
          </w:tcPr>
          <w:p>
            <w:pPr>
              <w:pStyle w:val="10"/>
              <w:adjustRightInd w:val="0"/>
              <w:snapToGrid w:val="0"/>
              <w:ind w:firstLine="0" w:firstLineChars="0"/>
              <w:rPr>
                <w:rFonts w:ascii="宋体" w:hAnsi="宋体"/>
                <w:color w:val="000000" w:themeColor="text1"/>
                <w:sz w:val="18"/>
                <w:szCs w:val="18"/>
              </w:rPr>
            </w:pPr>
            <w:r>
              <w:rPr>
                <w:rFonts w:hint="eastAsia"/>
                <w:color w:val="000000" w:themeColor="text1"/>
                <w:sz w:val="15"/>
                <w:szCs w:val="15"/>
              </w:rPr>
              <w:t>1504532006</w:t>
            </w:r>
          </w:p>
        </w:tc>
        <w:tc>
          <w:tcPr>
            <w:tcW w:w="1968" w:type="dxa"/>
            <w:vAlign w:val="center"/>
          </w:tcPr>
          <w:p>
            <w:pPr>
              <w:pStyle w:val="10"/>
              <w:adjustRightInd w:val="0"/>
              <w:snapToGrid w:val="0"/>
              <w:ind w:firstLine="0" w:firstLineChars="0"/>
              <w:rPr>
                <w:rFonts w:ascii="宋体" w:hAnsi="宋体"/>
                <w:color w:val="000000" w:themeColor="text1"/>
                <w:sz w:val="18"/>
                <w:szCs w:val="18"/>
              </w:rPr>
            </w:pPr>
            <w:r>
              <w:rPr>
                <w:rFonts w:hint="eastAsia" w:ascii="宋体" w:hAnsi="宋体"/>
                <w:color w:val="000000" w:themeColor="text1"/>
                <w:sz w:val="18"/>
                <w:szCs w:val="18"/>
              </w:rPr>
              <w:t>汉语语言学导论</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rFonts w:hint="eastAsia"/>
                <w:color w:val="000000" w:themeColor="text1"/>
                <w:sz w:val="18"/>
                <w:szCs w:val="18"/>
              </w:rPr>
              <w:t>1</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hAnsi="宋体"/>
                <w:color w:val="000000" w:themeColor="text1"/>
                <w:sz w:val="18"/>
                <w:szCs w:val="18"/>
              </w:rPr>
              <w:t>扩展课程三个类别必须至少各选一门课，且选修学分不少于</w:t>
            </w:r>
            <w:r>
              <w:rPr>
                <w:color w:val="000000" w:themeColor="text1"/>
                <w:sz w:val="18"/>
                <w:szCs w:val="18"/>
              </w:rPr>
              <w:t>8</w:t>
            </w:r>
            <w:r>
              <w:rPr>
                <w:rFonts w:hint="eastAsia" w:ascii="宋体" w:hAns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1" w:hRule="atLeast"/>
        </w:trPr>
        <w:tc>
          <w:tcPr>
            <w:tcW w:w="375" w:type="dxa"/>
            <w:vMerge w:val="continue"/>
            <w:vAlign w:val="center"/>
          </w:tcPr>
          <w:p>
            <w:pPr>
              <w:adjustRightInd w:val="0"/>
              <w:snapToGrid w:val="0"/>
              <w:jc w:val="center"/>
              <w:rPr>
                <w:rFonts w:ascii="宋体"/>
                <w:color w:val="000000" w:themeColor="text1"/>
                <w:szCs w:val="21"/>
              </w:rPr>
            </w:pPr>
          </w:p>
        </w:tc>
        <w:tc>
          <w:tcPr>
            <w:tcW w:w="360" w:type="dxa"/>
            <w:vMerge w:val="continue"/>
            <w:vAlign w:val="center"/>
          </w:tcPr>
          <w:p>
            <w:pPr>
              <w:adjustRightInd w:val="0"/>
              <w:snapToGrid w:val="0"/>
              <w:jc w:val="center"/>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1504532007</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汉外语言对比</w:t>
            </w:r>
            <w:r>
              <w:rPr>
                <w:rFonts w:hint="eastAsia" w:ascii="宋体" w:hAnsi="宋体" w:cs="宋体"/>
                <w:color w:val="000000" w:themeColor="text1"/>
                <w:kern w:val="0"/>
                <w:sz w:val="18"/>
                <w:szCs w:val="18"/>
              </w:rPr>
              <w:t>与</w:t>
            </w:r>
            <w:r>
              <w:rPr>
                <w:rFonts w:ascii="宋体" w:hAnsi="宋体" w:cs="宋体"/>
                <w:color w:val="000000" w:themeColor="text1"/>
                <w:kern w:val="0"/>
                <w:sz w:val="18"/>
                <w:szCs w:val="18"/>
              </w:rPr>
              <w:t>偏误分析</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jc w:val="center"/>
              <w:rPr>
                <w:color w:val="000000" w:themeColor="text1"/>
                <w:sz w:val="18"/>
                <w:szCs w:val="18"/>
              </w:rPr>
            </w:pPr>
            <w:r>
              <w:rPr>
                <w:color w:val="000000" w:themeColor="text1"/>
                <w:sz w:val="18"/>
                <w:szCs w:val="18"/>
              </w:rPr>
              <w:t>1</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jc w:val="center"/>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6"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1504532008</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汉语教材与教学资源 </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vAlign w:val="center"/>
          </w:tcPr>
          <w:p>
            <w:pPr>
              <w:jc w:val="center"/>
              <w:rPr>
                <w:color w:val="000000" w:themeColor="text1"/>
                <w:sz w:val="18"/>
                <w:szCs w:val="18"/>
              </w:rPr>
            </w:pPr>
            <w:r>
              <w:rPr>
                <w:color w:val="000000" w:themeColor="text1"/>
                <w:sz w:val="18"/>
                <w:szCs w:val="18"/>
              </w:rPr>
              <w:t>2</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restart"/>
          </w:tcPr>
          <w:p>
            <w:pPr>
              <w:pStyle w:val="10"/>
              <w:adjustRightInd w:val="0"/>
              <w:snapToGrid w:val="0"/>
              <w:ind w:firstLine="0" w:firstLineChars="0"/>
              <w:rPr>
                <w:rFonts w:ascii="宋体"/>
                <w:color w:val="000000" w:themeColor="text1"/>
                <w:sz w:val="18"/>
                <w:szCs w:val="18"/>
              </w:rPr>
            </w:pPr>
            <w:r>
              <w:rPr>
                <w:rFonts w:hint="eastAsia" w:ascii="宋体"/>
                <w:color w:val="000000" w:themeColor="text1"/>
                <w:sz w:val="18"/>
                <w:szCs w:val="18"/>
              </w:rPr>
              <w:t>中华文化传播与跨文化类</w:t>
            </w:r>
          </w:p>
        </w:tc>
        <w:tc>
          <w:tcPr>
            <w:tcW w:w="1080" w:type="dxa"/>
          </w:tcPr>
          <w:p>
            <w:pPr>
              <w:pStyle w:val="10"/>
              <w:adjustRightInd w:val="0"/>
              <w:snapToGrid w:val="0"/>
              <w:ind w:firstLine="0" w:firstLineChars="0"/>
              <w:rPr>
                <w:rFonts w:ascii="宋体"/>
                <w:color w:val="000000" w:themeColor="text1"/>
                <w:sz w:val="18"/>
                <w:szCs w:val="18"/>
              </w:rPr>
            </w:pPr>
            <w:r>
              <w:rPr>
                <w:rFonts w:hint="eastAsia"/>
                <w:color w:val="000000" w:themeColor="text1"/>
                <w:sz w:val="15"/>
                <w:szCs w:val="15"/>
              </w:rPr>
              <w:t>1504532009</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中国思想</w:t>
            </w:r>
            <w:r>
              <w:rPr>
                <w:rFonts w:hint="eastAsia" w:ascii="宋体" w:hAnsi="宋体" w:cs="宋体"/>
                <w:color w:val="000000" w:themeColor="text1"/>
                <w:kern w:val="0"/>
                <w:sz w:val="18"/>
                <w:szCs w:val="18"/>
              </w:rPr>
              <w:t>文化</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1</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10"/>
              <w:adjustRightInd w:val="0"/>
              <w:snapToGrid w:val="0"/>
              <w:ind w:firstLine="0" w:firstLineChars="0"/>
              <w:rPr>
                <w:rFonts w:ascii="宋体"/>
                <w:color w:val="000000" w:themeColor="text1"/>
                <w:sz w:val="21"/>
                <w:szCs w:val="21"/>
              </w:rPr>
            </w:pPr>
          </w:p>
        </w:tc>
        <w:tc>
          <w:tcPr>
            <w:tcW w:w="1080" w:type="dxa"/>
          </w:tcPr>
          <w:p>
            <w:pPr>
              <w:pStyle w:val="10"/>
              <w:adjustRightInd w:val="0"/>
              <w:snapToGrid w:val="0"/>
              <w:ind w:firstLine="0" w:firstLineChars="0"/>
              <w:rPr>
                <w:rFonts w:ascii="宋体"/>
                <w:color w:val="000000" w:themeColor="text1"/>
                <w:sz w:val="21"/>
                <w:szCs w:val="21"/>
              </w:rPr>
            </w:pPr>
            <w:r>
              <w:rPr>
                <w:rFonts w:hint="eastAsia"/>
                <w:color w:val="000000" w:themeColor="text1"/>
                <w:sz w:val="15"/>
                <w:szCs w:val="15"/>
              </w:rPr>
              <w:t>1504531018</w:t>
            </w:r>
          </w:p>
        </w:tc>
        <w:tc>
          <w:tcPr>
            <w:tcW w:w="1968" w:type="dxa"/>
            <w:vAlign w:val="center"/>
          </w:tcPr>
          <w:p>
            <w:pPr>
              <w:pStyle w:val="10"/>
              <w:adjustRightInd w:val="0"/>
              <w:snapToGrid w:val="0"/>
              <w:ind w:firstLine="0" w:firstLineChars="0"/>
              <w:rPr>
                <w:rFonts w:ascii="宋体"/>
                <w:color w:val="000000" w:themeColor="text1"/>
                <w:sz w:val="18"/>
                <w:szCs w:val="18"/>
              </w:rPr>
            </w:pPr>
            <w:r>
              <w:rPr>
                <w:rFonts w:hint="eastAsia" w:ascii="宋体" w:hAnsi="宋体" w:cs="宋体"/>
                <w:color w:val="000000" w:themeColor="text1"/>
                <w:kern w:val="0"/>
                <w:sz w:val="18"/>
                <w:szCs w:val="18"/>
              </w:rPr>
              <w:t>涉外礼仪</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tcPr>
          <w:p>
            <w:pPr>
              <w:jc w:val="center"/>
              <w:rPr>
                <w:color w:val="000000" w:themeColor="text1"/>
                <w:sz w:val="18"/>
                <w:szCs w:val="18"/>
              </w:rPr>
            </w:pPr>
            <w:r>
              <w:rPr>
                <w:color w:val="000000" w:themeColor="text1"/>
                <w:sz w:val="18"/>
                <w:szCs w:val="18"/>
              </w:rPr>
              <w:t>2</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20"/>
              <w:adjustRightInd w:val="0"/>
              <w:snapToGrid w:val="0"/>
              <w:spacing w:before="0" w:beforeAutospacing="0" w:after="0" w:afterAutospacing="0"/>
              <w:rPr>
                <w:rFonts w:cs="Times New Roman"/>
                <w:color w:val="000000" w:themeColor="text1"/>
                <w:sz w:val="21"/>
                <w:szCs w:val="21"/>
              </w:rPr>
            </w:pPr>
          </w:p>
        </w:tc>
        <w:tc>
          <w:tcPr>
            <w:tcW w:w="1080" w:type="dxa"/>
          </w:tcPr>
          <w:p>
            <w:pPr>
              <w:pStyle w:val="10"/>
              <w:adjustRightInd w:val="0"/>
              <w:snapToGrid w:val="0"/>
              <w:ind w:firstLine="0" w:firstLineChars="0"/>
              <w:rPr>
                <w:color w:val="000000" w:themeColor="text1"/>
                <w:sz w:val="15"/>
                <w:szCs w:val="15"/>
              </w:rPr>
            </w:pPr>
          </w:p>
          <w:p>
            <w:pPr>
              <w:pStyle w:val="10"/>
              <w:adjustRightInd w:val="0"/>
              <w:snapToGrid w:val="0"/>
              <w:ind w:firstLine="0" w:firstLineChars="0"/>
              <w:rPr>
                <w:color w:val="000000" w:themeColor="text1"/>
                <w:sz w:val="21"/>
                <w:szCs w:val="21"/>
              </w:rPr>
            </w:pPr>
            <w:r>
              <w:rPr>
                <w:rFonts w:hint="eastAsia"/>
                <w:color w:val="000000" w:themeColor="text1"/>
                <w:sz w:val="15"/>
                <w:szCs w:val="15"/>
              </w:rPr>
              <w:t>1504531011</w:t>
            </w:r>
          </w:p>
        </w:tc>
        <w:tc>
          <w:tcPr>
            <w:tcW w:w="1968" w:type="dxa"/>
            <w:vAlign w:val="center"/>
          </w:tcPr>
          <w:p>
            <w:pPr>
              <w:pStyle w:val="20"/>
              <w:adjustRightInd w:val="0"/>
              <w:snapToGrid w:val="0"/>
              <w:spacing w:before="0" w:beforeAutospacing="0" w:after="0" w:afterAutospacing="0"/>
              <w:rPr>
                <w:rFonts w:cs="Times New Roman"/>
                <w:color w:val="000000" w:themeColor="text1"/>
                <w:sz w:val="18"/>
                <w:szCs w:val="18"/>
              </w:rPr>
            </w:pPr>
            <w:r>
              <w:rPr>
                <w:rFonts w:hint="eastAsia"/>
                <w:color w:val="000000" w:themeColor="text1"/>
                <w:sz w:val="18"/>
                <w:szCs w:val="18"/>
              </w:rPr>
              <w:t>欧美语言文化研究</w:t>
            </w:r>
          </w:p>
        </w:tc>
        <w:tc>
          <w:tcPr>
            <w:tcW w:w="708"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w:t>
            </w:r>
          </w:p>
        </w:tc>
        <w:tc>
          <w:tcPr>
            <w:tcW w:w="567"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709" w:type="dxa"/>
            <w:vAlign w:val="center"/>
          </w:tcPr>
          <w:p>
            <w:pPr>
              <w:pStyle w:val="20"/>
              <w:adjustRightInd w:val="0"/>
              <w:snapToGrid w:val="0"/>
              <w:spacing w:before="0" w:beforeAutospacing="0" w:after="0" w:afterAutospacing="0"/>
              <w:jc w:val="center"/>
              <w:rPr>
                <w:rFonts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rPr>
              <w:t>1</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pStyle w:val="20"/>
              <w:adjustRightInd w:val="0"/>
              <w:snapToGrid w:val="0"/>
              <w:spacing w:before="0" w:beforeAutospacing="0" w:after="0" w:afterAutospacing="0"/>
              <w:rPr>
                <w:rFonts w:cs="Times New Roman"/>
                <w:color w:val="000000" w:themeColor="text1"/>
                <w:sz w:val="21"/>
                <w:szCs w:val="21"/>
              </w:rPr>
            </w:pPr>
          </w:p>
        </w:tc>
        <w:tc>
          <w:tcPr>
            <w:tcW w:w="1080" w:type="dxa"/>
            <w:vAlign w:val="center"/>
          </w:tcPr>
          <w:p>
            <w:pPr>
              <w:adjustRightInd w:val="0"/>
              <w:snapToGrid w:val="0"/>
              <w:rPr>
                <w:color w:val="000000" w:themeColor="text1"/>
                <w:sz w:val="15"/>
                <w:szCs w:val="15"/>
              </w:rPr>
            </w:pPr>
            <w:r>
              <w:rPr>
                <w:rFonts w:hint="eastAsia"/>
                <w:color w:val="000000" w:themeColor="text1"/>
                <w:sz w:val="15"/>
                <w:szCs w:val="15"/>
              </w:rPr>
              <w:t>0000121003</w:t>
            </w:r>
          </w:p>
        </w:tc>
        <w:tc>
          <w:tcPr>
            <w:tcW w:w="1968" w:type="dxa"/>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中国传统文化评析</w:t>
            </w:r>
          </w:p>
        </w:tc>
        <w:tc>
          <w:tcPr>
            <w:tcW w:w="708" w:type="dxa"/>
            <w:vAlign w:val="center"/>
          </w:tcPr>
          <w:p>
            <w:pPr>
              <w:adjustRightInd w:val="0"/>
              <w:snapToGrid w:val="0"/>
              <w:jc w:val="center"/>
              <w:rPr>
                <w:color w:val="000000" w:themeColor="text1"/>
                <w:sz w:val="18"/>
                <w:szCs w:val="18"/>
              </w:rPr>
            </w:pPr>
            <w:r>
              <w:rPr>
                <w:rFonts w:hint="eastAsia"/>
                <w:color w:val="000000" w:themeColor="text1"/>
                <w:sz w:val="18"/>
                <w:szCs w:val="18"/>
              </w:rPr>
              <w:t>16</w:t>
            </w:r>
          </w:p>
        </w:tc>
        <w:tc>
          <w:tcPr>
            <w:tcW w:w="567" w:type="dxa"/>
            <w:vAlign w:val="center"/>
          </w:tcPr>
          <w:p>
            <w:pPr>
              <w:adjustRightInd w:val="0"/>
              <w:snapToGrid w:val="0"/>
              <w:jc w:val="center"/>
              <w:rPr>
                <w:color w:val="000000" w:themeColor="text1"/>
                <w:sz w:val="18"/>
                <w:szCs w:val="18"/>
              </w:rPr>
            </w:pPr>
            <w:r>
              <w:rPr>
                <w:rFonts w:hint="eastAsia"/>
                <w:color w:val="000000" w:themeColor="text1"/>
                <w:sz w:val="18"/>
                <w:szCs w:val="18"/>
              </w:rPr>
              <w:t>1</w:t>
            </w:r>
          </w:p>
        </w:tc>
        <w:tc>
          <w:tcPr>
            <w:tcW w:w="709" w:type="dxa"/>
            <w:vAlign w:val="center"/>
          </w:tcPr>
          <w:p>
            <w:pPr>
              <w:adjustRightInd w:val="0"/>
              <w:snapToGrid w:val="0"/>
              <w:jc w:val="center"/>
              <w:rPr>
                <w:color w:val="000000" w:themeColor="text1"/>
                <w:sz w:val="18"/>
                <w:szCs w:val="18"/>
              </w:rPr>
            </w:pPr>
            <w:r>
              <w:rPr>
                <w:rFonts w:hint="eastAsia"/>
                <w:color w:val="000000" w:themeColor="text1"/>
                <w:sz w:val="18"/>
                <w:szCs w:val="18"/>
              </w:rPr>
              <w:t>1</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int="eastAsia"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restart"/>
          </w:tcPr>
          <w:p>
            <w:pPr>
              <w:pStyle w:val="10"/>
              <w:adjustRightInd w:val="0"/>
              <w:snapToGrid w:val="0"/>
              <w:ind w:firstLine="0" w:firstLineChars="0"/>
              <w:rPr>
                <w:rFonts w:ascii="宋体"/>
                <w:color w:val="000000" w:themeColor="text1"/>
                <w:sz w:val="18"/>
                <w:szCs w:val="18"/>
              </w:rPr>
            </w:pPr>
            <w:r>
              <w:rPr>
                <w:rFonts w:hint="eastAsia" w:ascii="宋体"/>
                <w:color w:val="000000" w:themeColor="text1"/>
                <w:sz w:val="18"/>
                <w:szCs w:val="18"/>
              </w:rPr>
              <w:t>教育与教学管理 类</w:t>
            </w:r>
          </w:p>
        </w:tc>
        <w:tc>
          <w:tcPr>
            <w:tcW w:w="1080" w:type="dxa"/>
            <w:vAlign w:val="center"/>
          </w:tcPr>
          <w:p>
            <w:pPr>
              <w:pStyle w:val="10"/>
              <w:adjustRightInd w:val="0"/>
              <w:snapToGrid w:val="0"/>
              <w:ind w:firstLine="0" w:firstLineChars="0"/>
              <w:rPr>
                <w:rFonts w:ascii="宋体"/>
                <w:color w:val="000000" w:themeColor="text1"/>
                <w:sz w:val="18"/>
                <w:szCs w:val="18"/>
              </w:rPr>
            </w:pPr>
            <w:r>
              <w:rPr>
                <w:rFonts w:hint="eastAsia"/>
                <w:color w:val="000000" w:themeColor="text1"/>
                <w:sz w:val="15"/>
                <w:szCs w:val="15"/>
              </w:rPr>
              <w:t>1504532012</w:t>
            </w:r>
          </w:p>
        </w:tc>
        <w:tc>
          <w:tcPr>
            <w:tcW w:w="1968" w:type="dxa"/>
            <w:vAlign w:val="center"/>
          </w:tcPr>
          <w:p>
            <w:pPr>
              <w:pStyle w:val="10"/>
              <w:adjustRightInd w:val="0"/>
              <w:snapToGrid w:val="0"/>
              <w:ind w:firstLine="0" w:firstLineChars="0"/>
              <w:rPr>
                <w:rFonts w:ascii="宋体"/>
                <w:color w:val="000000" w:themeColor="text1"/>
                <w:sz w:val="18"/>
                <w:szCs w:val="18"/>
              </w:rPr>
            </w:pPr>
            <w:r>
              <w:rPr>
                <w:rFonts w:ascii="宋体" w:hAnsi="宋体" w:cs="宋体"/>
                <w:color w:val="000000" w:themeColor="text1"/>
                <w:kern w:val="0"/>
                <w:sz w:val="18"/>
                <w:szCs w:val="18"/>
              </w:rPr>
              <w:t>外语教育心理学</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2</w:t>
            </w:r>
          </w:p>
        </w:tc>
        <w:tc>
          <w:tcPr>
            <w:tcW w:w="709" w:type="dxa"/>
          </w:tcPr>
          <w:p>
            <w:pPr>
              <w:jc w:val="center"/>
              <w:rPr>
                <w:color w:val="000000" w:themeColor="text1"/>
                <w:sz w:val="18"/>
                <w:szCs w:val="18"/>
              </w:rPr>
            </w:pPr>
            <w:r>
              <w:rPr>
                <w:color w:val="000000" w:themeColor="text1"/>
                <w:sz w:val="18"/>
                <w:szCs w:val="18"/>
              </w:rPr>
              <w:t>2</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adjustRightInd w:val="0"/>
              <w:snapToGrid w:val="0"/>
              <w:rPr>
                <w:color w:val="000000" w:themeColor="text1"/>
                <w:sz w:val="15"/>
                <w:szCs w:val="15"/>
              </w:rPr>
            </w:pPr>
          </w:p>
        </w:tc>
        <w:tc>
          <w:tcPr>
            <w:tcW w:w="1080" w:type="dxa"/>
            <w:vAlign w:val="center"/>
          </w:tcPr>
          <w:p>
            <w:pPr>
              <w:pStyle w:val="10"/>
              <w:adjustRightInd w:val="0"/>
              <w:snapToGrid w:val="0"/>
              <w:ind w:firstLine="0" w:firstLineChars="0"/>
              <w:rPr>
                <w:rFonts w:ascii="宋体" w:hAnsi="宋体" w:cs="宋体"/>
                <w:color w:val="000000" w:themeColor="text1"/>
                <w:kern w:val="0"/>
                <w:sz w:val="21"/>
                <w:szCs w:val="21"/>
              </w:rPr>
            </w:pPr>
            <w:r>
              <w:rPr>
                <w:rFonts w:hint="eastAsia"/>
                <w:color w:val="000000" w:themeColor="text1"/>
                <w:sz w:val="15"/>
                <w:szCs w:val="15"/>
              </w:rPr>
              <w:t>150453101</w:t>
            </w:r>
            <w:r>
              <w:rPr>
                <w:color w:val="000000" w:themeColor="text1"/>
                <w:sz w:val="15"/>
                <w:szCs w:val="15"/>
              </w:rPr>
              <w:t>7</w:t>
            </w:r>
          </w:p>
        </w:tc>
        <w:tc>
          <w:tcPr>
            <w:tcW w:w="1968" w:type="dxa"/>
            <w:vAlign w:val="center"/>
          </w:tcPr>
          <w:p>
            <w:pPr>
              <w:pStyle w:val="10"/>
              <w:adjustRightInd w:val="0"/>
              <w:snapToGrid w:val="0"/>
              <w:ind w:firstLine="0" w:firstLineChars="0"/>
              <w:rPr>
                <w:rFonts w:ascii="宋体" w:hAnsi="宋体" w:cs="宋体"/>
                <w:color w:val="000000" w:themeColor="text1"/>
                <w:kern w:val="0"/>
                <w:sz w:val="18"/>
                <w:szCs w:val="18"/>
              </w:rPr>
            </w:pPr>
            <w:r>
              <w:rPr>
                <w:rFonts w:hint="eastAsia" w:ascii="宋体" w:hAnsi="宋体" w:cs="宋体"/>
                <w:color w:val="000000" w:themeColor="text1"/>
                <w:kern w:val="0"/>
                <w:sz w:val="18"/>
                <w:szCs w:val="18"/>
              </w:rPr>
              <w:t>国外中小学教育</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jc w:val="center"/>
              <w:rPr>
                <w:color w:val="000000" w:themeColor="text1"/>
                <w:sz w:val="18"/>
                <w:szCs w:val="18"/>
              </w:rPr>
            </w:pPr>
            <w:r>
              <w:rPr>
                <w:rFonts w:hint="eastAsia"/>
                <w:color w:val="000000" w:themeColor="text1"/>
                <w:sz w:val="18"/>
                <w:szCs w:val="18"/>
              </w:rPr>
              <w:t>1</w:t>
            </w:r>
          </w:p>
        </w:tc>
        <w:tc>
          <w:tcPr>
            <w:tcW w:w="851" w:type="dxa"/>
            <w:vAlign w:val="center"/>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Cs w:val="21"/>
              </w:rPr>
            </w:pPr>
          </w:p>
        </w:tc>
        <w:tc>
          <w:tcPr>
            <w:tcW w:w="360" w:type="dxa"/>
            <w:vMerge w:val="continue"/>
            <w:vAlign w:val="center"/>
          </w:tcPr>
          <w:p>
            <w:pPr>
              <w:adjustRightInd w:val="0"/>
              <w:snapToGrid w:val="0"/>
              <w:rPr>
                <w:rFonts w:ascii="宋体"/>
                <w:color w:val="000000" w:themeColor="text1"/>
                <w:szCs w:val="21"/>
              </w:rPr>
            </w:pPr>
          </w:p>
        </w:tc>
        <w:tc>
          <w:tcPr>
            <w:tcW w:w="720" w:type="dxa"/>
            <w:vMerge w:val="continue"/>
          </w:tcPr>
          <w:p>
            <w:pPr>
              <w:adjustRightInd w:val="0"/>
              <w:snapToGrid w:val="0"/>
              <w:rPr>
                <w:color w:val="000000" w:themeColor="text1"/>
                <w:sz w:val="15"/>
                <w:szCs w:val="15"/>
              </w:rPr>
            </w:pPr>
          </w:p>
        </w:tc>
        <w:tc>
          <w:tcPr>
            <w:tcW w:w="1080" w:type="dxa"/>
          </w:tcPr>
          <w:p>
            <w:pPr>
              <w:adjustRightInd w:val="0"/>
              <w:snapToGrid w:val="0"/>
              <w:rPr>
                <w:color w:val="000000" w:themeColor="text1"/>
                <w:sz w:val="15"/>
                <w:szCs w:val="15"/>
              </w:rPr>
            </w:pPr>
            <w:r>
              <w:rPr>
                <w:rFonts w:hint="eastAsia"/>
                <w:color w:val="000000" w:themeColor="text1"/>
                <w:sz w:val="15"/>
                <w:szCs w:val="15"/>
              </w:rPr>
              <w:t>1504531014</w:t>
            </w:r>
          </w:p>
        </w:tc>
        <w:tc>
          <w:tcPr>
            <w:tcW w:w="1968" w:type="dxa"/>
            <w:vAlign w:val="center"/>
          </w:tcPr>
          <w:p>
            <w:pPr>
              <w:pStyle w:val="10"/>
              <w:adjustRightInd w:val="0"/>
              <w:snapToGrid w:val="0"/>
              <w:ind w:firstLine="0" w:firstLineChars="0"/>
              <w:rPr>
                <w:rFonts w:ascii="宋体" w:hAnsi="宋体" w:cs="宋体"/>
                <w:color w:val="000000" w:themeColor="text1"/>
                <w:kern w:val="0"/>
                <w:sz w:val="18"/>
                <w:szCs w:val="18"/>
              </w:rPr>
            </w:pPr>
            <w:r>
              <w:rPr>
                <w:rFonts w:ascii="宋体" w:hAnsi="宋体" w:cs="宋体"/>
                <w:color w:val="000000" w:themeColor="text1"/>
                <w:kern w:val="0"/>
                <w:sz w:val="18"/>
                <w:szCs w:val="18"/>
              </w:rPr>
              <w:t>汉语国际推广专题</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tcPr>
          <w:p>
            <w:pPr>
              <w:jc w:val="center"/>
              <w:rPr>
                <w:color w:val="000000" w:themeColor="text1"/>
                <w:sz w:val="18"/>
                <w:szCs w:val="18"/>
              </w:rPr>
            </w:pPr>
            <w:r>
              <w:rPr>
                <w:color w:val="000000" w:themeColor="text1"/>
                <w:sz w:val="18"/>
                <w:szCs w:val="18"/>
              </w:rPr>
              <w:t>1-2</w:t>
            </w:r>
          </w:p>
        </w:tc>
        <w:tc>
          <w:tcPr>
            <w:tcW w:w="851" w:type="dxa"/>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 w:val="18"/>
                <w:szCs w:val="18"/>
              </w:rPr>
            </w:pPr>
          </w:p>
        </w:tc>
        <w:tc>
          <w:tcPr>
            <w:tcW w:w="360"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训练课程</w:t>
            </w:r>
          </w:p>
        </w:tc>
        <w:tc>
          <w:tcPr>
            <w:tcW w:w="720" w:type="dxa"/>
          </w:tcPr>
          <w:p>
            <w:pPr>
              <w:adjustRightInd w:val="0"/>
              <w:snapToGrid w:val="0"/>
              <w:rPr>
                <w:color w:val="000000" w:themeColor="text1"/>
                <w:sz w:val="15"/>
                <w:szCs w:val="15"/>
              </w:rPr>
            </w:pPr>
            <w:r>
              <w:rPr>
                <w:rFonts w:hint="eastAsia"/>
                <w:color w:val="000000" w:themeColor="text1"/>
                <w:sz w:val="15"/>
                <w:szCs w:val="15"/>
              </w:rPr>
              <w:t>1504533015</w:t>
            </w:r>
          </w:p>
        </w:tc>
        <w:tc>
          <w:tcPr>
            <w:tcW w:w="3048" w:type="dxa"/>
            <w:gridSpan w:val="2"/>
            <w:vAlign w:val="center"/>
          </w:tcPr>
          <w:p>
            <w:pPr>
              <w:adjustRightInd w:val="0"/>
              <w:snapToGrid w:val="0"/>
              <w:rPr>
                <w:rFonts w:ascii="宋体"/>
                <w:color w:val="000000" w:themeColor="text1"/>
                <w:sz w:val="18"/>
                <w:szCs w:val="18"/>
              </w:rPr>
            </w:pPr>
            <w:r>
              <w:rPr>
                <w:rFonts w:hint="eastAsia" w:ascii="宋体" w:hAnsi="宋体" w:cs="宋体"/>
                <w:color w:val="000000" w:themeColor="text1"/>
                <w:kern w:val="0"/>
                <w:sz w:val="18"/>
                <w:szCs w:val="18"/>
              </w:rPr>
              <w:t>课程设计与实践（</w:t>
            </w:r>
            <w:r>
              <w:rPr>
                <w:rFonts w:ascii="宋体" w:hAnsi="宋体" w:cs="宋体"/>
                <w:color w:val="000000" w:themeColor="text1"/>
                <w:kern w:val="0"/>
                <w:sz w:val="18"/>
                <w:szCs w:val="18"/>
              </w:rPr>
              <w:t>教学调查与分析</w:t>
            </w:r>
            <w:r>
              <w:rPr>
                <w:rFonts w:hint="eastAsia" w:ascii="宋体" w:hAnsi="宋体" w:cs="宋体"/>
                <w:color w:val="000000" w:themeColor="text1"/>
                <w:kern w:val="0"/>
                <w:sz w:val="18"/>
                <w:szCs w:val="18"/>
              </w:rPr>
              <w:t>、</w:t>
            </w:r>
            <w:r>
              <w:rPr>
                <w:rFonts w:ascii="宋体" w:hAnsi="宋体" w:cs="宋体"/>
                <w:color w:val="000000" w:themeColor="text1"/>
                <w:kern w:val="0"/>
                <w:sz w:val="18"/>
                <w:szCs w:val="18"/>
              </w:rPr>
              <w:t>课堂观察与实践</w:t>
            </w:r>
            <w:r>
              <w:rPr>
                <w:rFonts w:hint="eastAsia" w:ascii="宋体" w:hAnsi="宋体" w:cs="宋体"/>
                <w:color w:val="000000" w:themeColor="text1"/>
                <w:kern w:val="0"/>
                <w:sz w:val="18"/>
                <w:szCs w:val="18"/>
              </w:rPr>
              <w:t>、</w:t>
            </w:r>
            <w:r>
              <w:rPr>
                <w:rFonts w:ascii="宋体" w:hAnsi="宋体" w:cs="宋体"/>
                <w:color w:val="000000" w:themeColor="text1"/>
                <w:kern w:val="0"/>
                <w:sz w:val="18"/>
                <w:szCs w:val="18"/>
              </w:rPr>
              <w:t>教学测试与评估</w:t>
            </w:r>
            <w:r>
              <w:rPr>
                <w:rFonts w:hint="eastAsia" w:ascii="宋体" w:hAnsi="宋体" w:cs="宋体"/>
                <w:color w:val="000000" w:themeColor="text1"/>
                <w:kern w:val="0"/>
                <w:sz w:val="18"/>
                <w:szCs w:val="18"/>
              </w:rPr>
              <w:t>）</w:t>
            </w:r>
          </w:p>
        </w:tc>
        <w:tc>
          <w:tcPr>
            <w:tcW w:w="708" w:type="dxa"/>
            <w:vAlign w:val="center"/>
          </w:tcPr>
          <w:p>
            <w:pPr>
              <w:pStyle w:val="10"/>
              <w:adjustRightInd w:val="0"/>
              <w:snapToGrid w:val="0"/>
              <w:ind w:firstLine="0" w:firstLineChars="0"/>
              <w:jc w:val="center"/>
              <w:rPr>
                <w:rFonts w:eastAsia="宋体"/>
                <w:color w:val="000000" w:themeColor="text1"/>
                <w:sz w:val="18"/>
                <w:szCs w:val="18"/>
              </w:rPr>
            </w:pPr>
            <w:r>
              <w:rPr>
                <w:rFonts w:hint="eastAsia"/>
                <w:color w:val="000000" w:themeColor="text1"/>
                <w:sz w:val="18"/>
                <w:szCs w:val="18"/>
              </w:rPr>
              <w:t>48</w:t>
            </w:r>
          </w:p>
        </w:tc>
        <w:tc>
          <w:tcPr>
            <w:tcW w:w="567"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3</w:t>
            </w:r>
          </w:p>
        </w:tc>
        <w:tc>
          <w:tcPr>
            <w:tcW w:w="709"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1-3</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必选</w:t>
            </w:r>
          </w:p>
          <w:p>
            <w:pPr>
              <w:adjustRightInd w:val="0"/>
              <w:snapToGrid w:val="0"/>
              <w:rPr>
                <w:rFonts w:ascii="宋体"/>
                <w:color w:val="000000" w:themeColor="text1"/>
                <w:sz w:val="18"/>
                <w:szCs w:val="18"/>
              </w:rPr>
            </w:pPr>
            <w:r>
              <w:rPr>
                <w:color w:val="000000" w:themeColor="text1"/>
                <w:sz w:val="18"/>
                <w:szCs w:val="18"/>
              </w:rPr>
              <w:t>4</w:t>
            </w:r>
            <w:r>
              <w:rPr>
                <w:rFonts w:hint="eastAsia" w:asci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375" w:type="dxa"/>
            <w:vMerge w:val="continue"/>
            <w:vAlign w:val="center"/>
          </w:tcPr>
          <w:p>
            <w:pPr>
              <w:adjustRightInd w:val="0"/>
              <w:snapToGrid w:val="0"/>
              <w:rPr>
                <w:rFonts w:ascii="宋体"/>
                <w:color w:val="000000" w:themeColor="text1"/>
                <w:sz w:val="18"/>
                <w:szCs w:val="18"/>
              </w:rPr>
            </w:pPr>
          </w:p>
        </w:tc>
        <w:tc>
          <w:tcPr>
            <w:tcW w:w="360" w:type="dxa"/>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1504531016</w:t>
            </w:r>
          </w:p>
        </w:tc>
        <w:tc>
          <w:tcPr>
            <w:tcW w:w="3048" w:type="dxa"/>
            <w:gridSpan w:val="2"/>
            <w:vAlign w:val="center"/>
          </w:tcPr>
          <w:p>
            <w:pPr>
              <w:adjustRightInd w:val="0"/>
              <w:snapToGrid w:val="0"/>
              <w:rPr>
                <w:rFonts w:ascii="宋体" w:hAnsi="宋体" w:cs="宋体"/>
                <w:color w:val="000000" w:themeColor="text1"/>
                <w:kern w:val="0"/>
                <w:sz w:val="18"/>
                <w:szCs w:val="18"/>
              </w:rPr>
            </w:pPr>
            <w:r>
              <w:rPr>
                <w:rFonts w:ascii="宋体" w:hAnsi="宋体" w:cs="宋体"/>
                <w:color w:val="000000" w:themeColor="text1"/>
                <w:kern w:val="0"/>
                <w:sz w:val="18"/>
                <w:szCs w:val="18"/>
              </w:rPr>
              <w:t>中华文化才艺与展示</w:t>
            </w:r>
          </w:p>
        </w:tc>
        <w:tc>
          <w:tcPr>
            <w:tcW w:w="708"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32</w:t>
            </w:r>
          </w:p>
        </w:tc>
        <w:tc>
          <w:tcPr>
            <w:tcW w:w="567" w:type="dxa"/>
            <w:vAlign w:val="center"/>
          </w:tcPr>
          <w:p>
            <w:pPr>
              <w:pStyle w:val="10"/>
              <w:adjustRightInd w:val="0"/>
              <w:snapToGrid w:val="0"/>
              <w:ind w:firstLine="0" w:firstLineChars="0"/>
              <w:jc w:val="center"/>
              <w:rPr>
                <w:color w:val="000000" w:themeColor="text1"/>
                <w:sz w:val="18"/>
                <w:szCs w:val="18"/>
              </w:rPr>
            </w:pPr>
            <w:r>
              <w:rPr>
                <w:rFonts w:hint="eastAsia"/>
                <w:color w:val="000000" w:themeColor="text1"/>
                <w:sz w:val="18"/>
                <w:szCs w:val="18"/>
              </w:rPr>
              <w:t>1</w:t>
            </w:r>
          </w:p>
        </w:tc>
        <w:tc>
          <w:tcPr>
            <w:tcW w:w="709" w:type="dxa"/>
            <w:vAlign w:val="center"/>
          </w:tcPr>
          <w:p>
            <w:pPr>
              <w:jc w:val="center"/>
              <w:rPr>
                <w:color w:val="000000" w:themeColor="text1"/>
                <w:sz w:val="18"/>
                <w:szCs w:val="18"/>
              </w:rPr>
            </w:pPr>
            <w:r>
              <w:rPr>
                <w:color w:val="000000" w:themeColor="text1"/>
                <w:sz w:val="18"/>
                <w:szCs w:val="18"/>
              </w:rPr>
              <w:t>2</w:t>
            </w:r>
          </w:p>
        </w:tc>
        <w:tc>
          <w:tcPr>
            <w:tcW w:w="851" w:type="dxa"/>
            <w:vAlign w:val="center"/>
          </w:tcPr>
          <w:p>
            <w:pPr>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公共选修课</w:t>
            </w:r>
          </w:p>
        </w:tc>
        <w:tc>
          <w:tcPr>
            <w:tcW w:w="720" w:type="dxa"/>
            <w:vAlign w:val="center"/>
          </w:tcPr>
          <w:p>
            <w:pPr>
              <w:adjustRightInd w:val="0"/>
              <w:snapToGrid w:val="0"/>
              <w:jc w:val="center"/>
              <w:rPr>
                <w:color w:val="000000" w:themeColor="text1"/>
                <w:sz w:val="15"/>
                <w:szCs w:val="15"/>
              </w:rPr>
            </w:pPr>
            <w:r>
              <w:rPr>
                <w:rFonts w:hint="eastAsia"/>
                <w:color w:val="000000" w:themeColor="text1"/>
                <w:sz w:val="15"/>
                <w:szCs w:val="15"/>
              </w:rPr>
              <w:t>0000161001</w:t>
            </w:r>
          </w:p>
        </w:tc>
        <w:tc>
          <w:tcPr>
            <w:tcW w:w="3048" w:type="dxa"/>
            <w:gridSpan w:val="2"/>
            <w:vAlign w:val="center"/>
          </w:tcPr>
          <w:p>
            <w:pPr>
              <w:pStyle w:val="10"/>
              <w:adjustRightInd w:val="0"/>
              <w:snapToGrid w:val="0"/>
              <w:ind w:firstLine="0" w:firstLineChars="0"/>
              <w:rPr>
                <w:color w:val="000000" w:themeColor="text1"/>
                <w:sz w:val="18"/>
                <w:szCs w:val="18"/>
              </w:rPr>
            </w:pPr>
            <w:r>
              <w:rPr>
                <w:rFonts w:hint="eastAsia"/>
                <w:color w:val="000000" w:themeColor="text1"/>
                <w:sz w:val="18"/>
                <w:szCs w:val="18"/>
              </w:rPr>
              <w:t>信息检索</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16</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851" w:type="dxa"/>
            <w:vAlign w:val="center"/>
          </w:tcPr>
          <w:p>
            <w:pPr>
              <w:pStyle w:val="10"/>
              <w:adjustRightInd w:val="0"/>
              <w:snapToGrid w:val="0"/>
              <w:ind w:firstLine="0" w:firstLineChars="0"/>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rPr>
                <w:rFonts w:ascii="宋体"/>
                <w:color w:val="000000" w:themeColor="text1"/>
                <w:sz w:val="18"/>
                <w:szCs w:val="18"/>
              </w:rPr>
            </w:pPr>
            <w:r>
              <w:rPr>
                <w:rFonts w:hint="eastAsia" w:ascii="宋体"/>
                <w:color w:val="000000" w:themeColor="text1"/>
                <w:sz w:val="18"/>
                <w:szCs w:val="18"/>
              </w:rPr>
              <w:t>可选修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jc w:val="center"/>
              <w:rPr>
                <w:color w:val="000000" w:themeColor="text1"/>
                <w:sz w:val="15"/>
                <w:szCs w:val="15"/>
              </w:rPr>
            </w:pPr>
            <w:r>
              <w:rPr>
                <w:color w:val="000000" w:themeColor="text1"/>
                <w:sz w:val="15"/>
                <w:szCs w:val="15"/>
              </w:rPr>
              <w:t>0000</w:t>
            </w:r>
            <w:r>
              <w:rPr>
                <w:rFonts w:hint="eastAsia"/>
                <w:color w:val="000000" w:themeColor="text1"/>
                <w:sz w:val="15"/>
                <w:szCs w:val="15"/>
              </w:rPr>
              <w:t>09</w:t>
            </w:r>
            <w:r>
              <w:rPr>
                <w:color w:val="000000" w:themeColor="text1"/>
                <w:sz w:val="15"/>
                <w:szCs w:val="15"/>
              </w:rPr>
              <w:t>200</w:t>
            </w:r>
            <w:r>
              <w:rPr>
                <w:rFonts w:hint="eastAsia"/>
                <w:color w:val="000000" w:themeColor="text1"/>
                <w:sz w:val="15"/>
                <w:szCs w:val="15"/>
              </w:rPr>
              <w:t>4</w:t>
            </w:r>
          </w:p>
        </w:tc>
        <w:tc>
          <w:tcPr>
            <w:tcW w:w="3048" w:type="dxa"/>
            <w:gridSpan w:val="2"/>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二外</w:t>
            </w:r>
            <w:r>
              <w:rPr>
                <w:rFonts w:hAnsi="宋体"/>
                <w:color w:val="000000" w:themeColor="text1"/>
                <w:sz w:val="18"/>
                <w:szCs w:val="18"/>
              </w:rPr>
              <w:t>德语</w:t>
            </w:r>
          </w:p>
        </w:tc>
        <w:tc>
          <w:tcPr>
            <w:tcW w:w="708" w:type="dxa"/>
            <w:vAlign w:val="center"/>
          </w:tcPr>
          <w:p>
            <w:pPr>
              <w:adjustRightInd w:val="0"/>
              <w:snapToGrid w:val="0"/>
              <w:jc w:val="center"/>
              <w:rPr>
                <w:color w:val="000000" w:themeColor="text1"/>
                <w:sz w:val="18"/>
                <w:szCs w:val="18"/>
              </w:rPr>
            </w:pPr>
            <w:r>
              <w:rPr>
                <w:color w:val="000000" w:themeColor="text1"/>
                <w:sz w:val="18"/>
                <w:szCs w:val="18"/>
              </w:rPr>
              <w:t>64</w:t>
            </w:r>
          </w:p>
        </w:tc>
        <w:tc>
          <w:tcPr>
            <w:tcW w:w="567" w:type="dxa"/>
            <w:vAlign w:val="center"/>
          </w:tcPr>
          <w:p>
            <w:pPr>
              <w:adjustRightInd w:val="0"/>
              <w:snapToGrid w:val="0"/>
              <w:jc w:val="center"/>
              <w:rPr>
                <w:color w:val="000000" w:themeColor="text1"/>
                <w:sz w:val="18"/>
                <w:szCs w:val="18"/>
              </w:rPr>
            </w:pPr>
            <w:r>
              <w:rPr>
                <w:color w:val="000000" w:themeColor="text1"/>
                <w:sz w:val="18"/>
                <w:szCs w:val="18"/>
              </w:rPr>
              <w:t>2</w:t>
            </w:r>
          </w:p>
        </w:tc>
        <w:tc>
          <w:tcPr>
            <w:tcW w:w="709" w:type="dxa"/>
            <w:vAlign w:val="center"/>
          </w:tcPr>
          <w:p>
            <w:pPr>
              <w:adjustRightInd w:val="0"/>
              <w:snapToGrid w:val="0"/>
              <w:jc w:val="center"/>
              <w:rPr>
                <w:color w:val="000000" w:themeColor="text1"/>
                <w:sz w:val="18"/>
                <w:szCs w:val="18"/>
              </w:rPr>
            </w:pPr>
            <w:r>
              <w:rPr>
                <w:color w:val="000000" w:themeColor="text1"/>
                <w:sz w:val="18"/>
                <w:szCs w:val="18"/>
              </w:rPr>
              <w:t>1-2</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continue"/>
            <w:vAlign w:val="center"/>
          </w:tcPr>
          <w:p>
            <w:pPr>
              <w:adjustRightInd w:val="0"/>
              <w:snapToGrid w:val="0"/>
              <w:rPr>
                <w:rFonts w:ascii="宋体"/>
                <w:color w:val="000000" w:themeColor="text1"/>
                <w:sz w:val="18"/>
                <w:szCs w:val="18"/>
              </w:rPr>
            </w:pPr>
          </w:p>
        </w:tc>
        <w:tc>
          <w:tcPr>
            <w:tcW w:w="720" w:type="dxa"/>
            <w:vAlign w:val="center"/>
          </w:tcPr>
          <w:p>
            <w:pPr>
              <w:adjustRightInd w:val="0"/>
              <w:snapToGrid w:val="0"/>
              <w:jc w:val="center"/>
              <w:rPr>
                <w:color w:val="000000" w:themeColor="text1"/>
                <w:sz w:val="15"/>
                <w:szCs w:val="15"/>
              </w:rPr>
            </w:pPr>
            <w:r>
              <w:rPr>
                <w:color w:val="000000" w:themeColor="text1"/>
                <w:sz w:val="15"/>
                <w:szCs w:val="15"/>
              </w:rPr>
              <w:t>0000</w:t>
            </w:r>
            <w:r>
              <w:rPr>
                <w:rFonts w:hint="eastAsia"/>
                <w:color w:val="000000" w:themeColor="text1"/>
                <w:sz w:val="15"/>
                <w:szCs w:val="15"/>
              </w:rPr>
              <w:t>09</w:t>
            </w:r>
            <w:r>
              <w:rPr>
                <w:color w:val="000000" w:themeColor="text1"/>
                <w:sz w:val="15"/>
                <w:szCs w:val="15"/>
              </w:rPr>
              <w:t>200</w:t>
            </w:r>
            <w:r>
              <w:rPr>
                <w:rFonts w:hint="eastAsia"/>
                <w:color w:val="000000" w:themeColor="text1"/>
                <w:sz w:val="15"/>
                <w:szCs w:val="15"/>
              </w:rPr>
              <w:t>3</w:t>
            </w:r>
          </w:p>
        </w:tc>
        <w:tc>
          <w:tcPr>
            <w:tcW w:w="3048" w:type="dxa"/>
            <w:gridSpan w:val="2"/>
            <w:vAlign w:val="center"/>
          </w:tcPr>
          <w:p>
            <w:pPr>
              <w:adjustRightInd w:val="0"/>
              <w:snapToGrid w:val="0"/>
              <w:jc w:val="left"/>
              <w:rPr>
                <w:rFonts w:hAnsi="宋体"/>
                <w:color w:val="000000" w:themeColor="text1"/>
                <w:sz w:val="18"/>
                <w:szCs w:val="18"/>
              </w:rPr>
            </w:pPr>
            <w:r>
              <w:rPr>
                <w:rFonts w:hint="eastAsia" w:hAnsi="宋体"/>
                <w:color w:val="000000" w:themeColor="text1"/>
                <w:sz w:val="18"/>
                <w:szCs w:val="18"/>
              </w:rPr>
              <w:t>二外日</w:t>
            </w:r>
            <w:r>
              <w:rPr>
                <w:rFonts w:hAnsi="宋体"/>
                <w:color w:val="000000" w:themeColor="text1"/>
                <w:sz w:val="18"/>
                <w:szCs w:val="18"/>
              </w:rPr>
              <w:t>语</w:t>
            </w:r>
          </w:p>
        </w:tc>
        <w:tc>
          <w:tcPr>
            <w:tcW w:w="708" w:type="dxa"/>
            <w:vAlign w:val="center"/>
          </w:tcPr>
          <w:p>
            <w:pPr>
              <w:adjustRightInd w:val="0"/>
              <w:snapToGrid w:val="0"/>
              <w:jc w:val="center"/>
              <w:rPr>
                <w:color w:val="000000" w:themeColor="text1"/>
                <w:sz w:val="18"/>
                <w:szCs w:val="18"/>
              </w:rPr>
            </w:pPr>
            <w:r>
              <w:rPr>
                <w:color w:val="000000" w:themeColor="text1"/>
                <w:sz w:val="18"/>
                <w:szCs w:val="18"/>
              </w:rPr>
              <w:t>64</w:t>
            </w:r>
          </w:p>
        </w:tc>
        <w:tc>
          <w:tcPr>
            <w:tcW w:w="567" w:type="dxa"/>
            <w:vAlign w:val="center"/>
          </w:tcPr>
          <w:p>
            <w:pPr>
              <w:adjustRightInd w:val="0"/>
              <w:snapToGrid w:val="0"/>
              <w:jc w:val="center"/>
              <w:rPr>
                <w:color w:val="000000" w:themeColor="text1"/>
                <w:sz w:val="18"/>
                <w:szCs w:val="18"/>
              </w:rPr>
            </w:pPr>
            <w:r>
              <w:rPr>
                <w:color w:val="000000" w:themeColor="text1"/>
                <w:sz w:val="18"/>
                <w:szCs w:val="18"/>
              </w:rPr>
              <w:t>2</w:t>
            </w:r>
          </w:p>
        </w:tc>
        <w:tc>
          <w:tcPr>
            <w:tcW w:w="709" w:type="dxa"/>
            <w:vAlign w:val="center"/>
          </w:tcPr>
          <w:p>
            <w:pPr>
              <w:adjustRightInd w:val="0"/>
              <w:snapToGrid w:val="0"/>
              <w:jc w:val="center"/>
              <w:rPr>
                <w:color w:val="000000" w:themeColor="text1"/>
                <w:sz w:val="18"/>
                <w:szCs w:val="18"/>
              </w:rPr>
            </w:pPr>
            <w:r>
              <w:rPr>
                <w:color w:val="000000" w:themeColor="text1"/>
                <w:sz w:val="18"/>
                <w:szCs w:val="18"/>
              </w:rPr>
              <w:t>1-2</w:t>
            </w:r>
          </w:p>
        </w:tc>
        <w:tc>
          <w:tcPr>
            <w:tcW w:w="851" w:type="dxa"/>
            <w:vAlign w:val="center"/>
          </w:tcPr>
          <w:p>
            <w:pPr>
              <w:pStyle w:val="10"/>
              <w:adjustRightInd w:val="0"/>
              <w:snapToGrid w:val="0"/>
              <w:spacing w:line="300" w:lineRule="exact"/>
              <w:ind w:firstLine="0" w:firstLineChars="0"/>
              <w:jc w:val="center"/>
              <w:rPr>
                <w:rFonts w:hAnsi="宋体"/>
                <w:color w:val="000000" w:themeColor="text1"/>
                <w:sz w:val="18"/>
                <w:szCs w:val="18"/>
              </w:rPr>
            </w:pPr>
            <w:r>
              <w:rPr>
                <w:rFonts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trPr>
        <w:tc>
          <w:tcPr>
            <w:tcW w:w="735" w:type="dxa"/>
            <w:gridSpan w:val="2"/>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必</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修</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环</w:t>
            </w:r>
          </w:p>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节</w:t>
            </w:r>
          </w:p>
        </w:tc>
        <w:tc>
          <w:tcPr>
            <w:tcW w:w="720" w:type="dxa"/>
            <w:vAlign w:val="center"/>
          </w:tcPr>
          <w:p>
            <w:pPr>
              <w:adjustRightInd w:val="0"/>
              <w:snapToGrid w:val="0"/>
              <w:jc w:val="center"/>
              <w:rPr>
                <w:color w:val="000000" w:themeColor="text1"/>
                <w:sz w:val="15"/>
                <w:szCs w:val="15"/>
              </w:rPr>
            </w:pPr>
            <w:r>
              <w:rPr>
                <w:rFonts w:hint="eastAsia"/>
                <w:color w:val="000000" w:themeColor="text1"/>
                <w:sz w:val="15"/>
                <w:szCs w:val="15"/>
              </w:rPr>
              <w:t>1504531001</w:t>
            </w:r>
          </w:p>
        </w:tc>
        <w:tc>
          <w:tcPr>
            <w:tcW w:w="3048" w:type="dxa"/>
            <w:gridSpan w:val="2"/>
            <w:vAlign w:val="center"/>
          </w:tcPr>
          <w:p>
            <w:pPr>
              <w:pStyle w:val="10"/>
              <w:adjustRightInd w:val="0"/>
              <w:snapToGrid w:val="0"/>
              <w:ind w:firstLine="0" w:firstLineChars="0"/>
              <w:rPr>
                <w:color w:val="000000" w:themeColor="text1"/>
                <w:sz w:val="18"/>
                <w:szCs w:val="18"/>
              </w:rPr>
            </w:pPr>
            <w:r>
              <w:rPr>
                <w:rFonts w:hint="eastAsia"/>
                <w:color w:val="000000" w:themeColor="text1"/>
                <w:sz w:val="18"/>
                <w:szCs w:val="18"/>
              </w:rPr>
              <w:t>文献选读与开题报告</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1次</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3</w:t>
            </w:r>
          </w:p>
        </w:tc>
        <w:tc>
          <w:tcPr>
            <w:tcW w:w="851" w:type="dxa"/>
            <w:vAlign w:val="center"/>
          </w:tcPr>
          <w:p>
            <w:pPr>
              <w:pStyle w:val="10"/>
              <w:adjustRightInd w:val="0"/>
              <w:snapToGrid w:val="0"/>
              <w:ind w:firstLine="0" w:firstLineChars="0"/>
              <w:jc w:val="center"/>
              <w:rPr>
                <w:rFonts w:ascii="宋体" w:hAnsi="宋体"/>
                <w:color w:val="000000" w:themeColor="text1"/>
                <w:sz w:val="18"/>
                <w:szCs w:val="18"/>
              </w:rPr>
            </w:pPr>
            <w:r>
              <w:rPr>
                <w:rFonts w:hint="eastAsia" w:ascii="宋体" w:hAnsi="宋体"/>
                <w:color w:val="000000" w:themeColor="text1"/>
                <w:sz w:val="18"/>
                <w:szCs w:val="18"/>
              </w:rPr>
              <w:t>考查</w:t>
            </w:r>
          </w:p>
        </w:tc>
        <w:tc>
          <w:tcPr>
            <w:tcW w:w="708" w:type="dxa"/>
            <w:vMerge w:val="restart"/>
            <w:vAlign w:val="center"/>
          </w:tcPr>
          <w:p>
            <w:pPr>
              <w:adjustRightInd w:val="0"/>
              <w:snapToGrid w:val="0"/>
              <w:jc w:val="center"/>
              <w:rPr>
                <w:rFonts w:ascii="宋体"/>
                <w:color w:val="000000" w:themeColor="text1"/>
                <w:sz w:val="18"/>
                <w:szCs w:val="18"/>
              </w:rPr>
            </w:pPr>
            <w:r>
              <w:rPr>
                <w:rFonts w:hint="eastAsia" w:ascii="宋体" w:hAnsi="宋体"/>
                <w:color w:val="000000" w:themeColor="text1"/>
                <w:sz w:val="18"/>
                <w:szCs w:val="18"/>
              </w:rPr>
              <w:t>必</w:t>
            </w:r>
          </w:p>
          <w:p>
            <w:pPr>
              <w:adjustRightInd w:val="0"/>
              <w:snapToGrid w:val="0"/>
              <w:jc w:val="center"/>
              <w:rPr>
                <w:rFonts w:ascii="宋体" w:hAnsi="宋体"/>
                <w:color w:val="000000" w:themeColor="text1"/>
                <w:sz w:val="18"/>
                <w:szCs w:val="18"/>
              </w:rPr>
            </w:pPr>
            <w:r>
              <w:rPr>
                <w:rFonts w:hint="eastAsia" w:ascii="宋体" w:hAnsi="宋体"/>
                <w:color w:val="000000" w:themeColor="text1"/>
                <w:sz w:val="18"/>
                <w:szCs w:val="18"/>
              </w:rPr>
              <w:t>修</w:t>
            </w:r>
          </w:p>
          <w:p>
            <w:pPr>
              <w:adjustRightInd w:val="0"/>
              <w:snapToGrid w:val="0"/>
              <w:jc w:val="center"/>
              <w:rPr>
                <w:rFonts w:ascii="宋体"/>
                <w:color w:val="000000" w:themeColor="text1"/>
                <w:sz w:val="18"/>
                <w:szCs w:val="18"/>
              </w:rPr>
            </w:pPr>
            <w:r>
              <w:rPr>
                <w:color w:val="000000" w:themeColor="text1"/>
                <w:sz w:val="18"/>
                <w:szCs w:val="18"/>
              </w:rPr>
              <w:t>8</w:t>
            </w:r>
            <w:r>
              <w:rPr>
                <w:rFonts w:hint="eastAsia" w:ascii="宋体" w:hAnsi="宋体"/>
                <w:color w:val="000000" w:themeColor="text1"/>
                <w:sz w:val="18"/>
                <w:szCs w:val="18"/>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735" w:type="dxa"/>
            <w:gridSpan w:val="2"/>
            <w:vMerge w:val="continue"/>
            <w:vAlign w:val="center"/>
          </w:tcPr>
          <w:p>
            <w:pPr>
              <w:adjustRightInd w:val="0"/>
              <w:snapToGrid w:val="0"/>
              <w:jc w:val="center"/>
              <w:rPr>
                <w:rFonts w:ascii="宋体"/>
                <w:color w:val="000000" w:themeColor="text1"/>
                <w:szCs w:val="21"/>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1504531002</w:t>
            </w:r>
          </w:p>
        </w:tc>
        <w:tc>
          <w:tcPr>
            <w:tcW w:w="3048" w:type="dxa"/>
            <w:gridSpan w:val="2"/>
            <w:vAlign w:val="center"/>
          </w:tcPr>
          <w:p>
            <w:pPr>
              <w:adjustRightInd w:val="0"/>
              <w:snapToGrid w:val="0"/>
              <w:rPr>
                <w:rFonts w:ascii="宋体"/>
                <w:color w:val="000000" w:themeColor="text1"/>
                <w:sz w:val="18"/>
                <w:szCs w:val="18"/>
              </w:rPr>
            </w:pPr>
            <w:r>
              <w:rPr>
                <w:rFonts w:hint="eastAsia" w:ascii="宋体" w:hAnsi="宋体" w:cs="Arial"/>
                <w:color w:val="000000" w:themeColor="text1"/>
                <w:sz w:val="18"/>
                <w:szCs w:val="18"/>
              </w:rPr>
              <w:t>学术专题</w:t>
            </w:r>
          </w:p>
        </w:tc>
        <w:tc>
          <w:tcPr>
            <w:tcW w:w="708"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10次</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w:t>
            </w:r>
          </w:p>
        </w:tc>
        <w:tc>
          <w:tcPr>
            <w:tcW w:w="709"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1-4</w:t>
            </w:r>
          </w:p>
        </w:tc>
        <w:tc>
          <w:tcPr>
            <w:tcW w:w="851" w:type="dxa"/>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jc w:val="center"/>
              <w:rPr>
                <w:rFonts w:asci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trPr>
        <w:tc>
          <w:tcPr>
            <w:tcW w:w="735" w:type="dxa"/>
            <w:gridSpan w:val="2"/>
            <w:vMerge w:val="continue"/>
            <w:vAlign w:val="center"/>
          </w:tcPr>
          <w:p>
            <w:pPr>
              <w:adjustRightInd w:val="0"/>
              <w:snapToGrid w:val="0"/>
              <w:rPr>
                <w:rFonts w:ascii="宋体"/>
                <w:color w:val="000000" w:themeColor="text1"/>
                <w:szCs w:val="21"/>
              </w:rPr>
            </w:pPr>
          </w:p>
        </w:tc>
        <w:tc>
          <w:tcPr>
            <w:tcW w:w="720" w:type="dxa"/>
            <w:vAlign w:val="center"/>
          </w:tcPr>
          <w:p>
            <w:pPr>
              <w:adjustRightInd w:val="0"/>
              <w:snapToGrid w:val="0"/>
              <w:rPr>
                <w:color w:val="000000" w:themeColor="text1"/>
                <w:sz w:val="15"/>
                <w:szCs w:val="15"/>
              </w:rPr>
            </w:pPr>
            <w:r>
              <w:rPr>
                <w:rFonts w:hint="eastAsia"/>
                <w:color w:val="000000" w:themeColor="text1"/>
                <w:sz w:val="15"/>
                <w:szCs w:val="15"/>
              </w:rPr>
              <w:t>1504536003</w:t>
            </w:r>
          </w:p>
        </w:tc>
        <w:tc>
          <w:tcPr>
            <w:tcW w:w="3048" w:type="dxa"/>
            <w:gridSpan w:val="2"/>
            <w:vAlign w:val="center"/>
          </w:tcPr>
          <w:p>
            <w:pPr>
              <w:adjustRightInd w:val="0"/>
              <w:snapToGrid w:val="0"/>
              <w:rPr>
                <w:rFonts w:ascii="宋体"/>
                <w:color w:val="000000" w:themeColor="text1"/>
                <w:sz w:val="18"/>
                <w:szCs w:val="18"/>
              </w:rPr>
            </w:pPr>
            <w:r>
              <w:rPr>
                <w:rFonts w:ascii="宋体" w:hAnsi="宋体" w:cs="宋体"/>
                <w:color w:val="000000" w:themeColor="text1"/>
                <w:kern w:val="0"/>
                <w:sz w:val="18"/>
                <w:szCs w:val="18"/>
              </w:rPr>
              <w:t>教学</w:t>
            </w:r>
            <w:r>
              <w:rPr>
                <w:rFonts w:hint="eastAsia" w:ascii="宋体" w:hAnsi="宋体" w:cs="宋体"/>
                <w:color w:val="000000" w:themeColor="text1"/>
                <w:kern w:val="0"/>
                <w:sz w:val="18"/>
                <w:szCs w:val="18"/>
              </w:rPr>
              <w:t>实习</w:t>
            </w:r>
          </w:p>
        </w:tc>
        <w:tc>
          <w:tcPr>
            <w:tcW w:w="708" w:type="dxa"/>
            <w:vAlign w:val="center"/>
          </w:tcPr>
          <w:p>
            <w:pPr>
              <w:pStyle w:val="10"/>
              <w:adjustRightInd w:val="0"/>
              <w:snapToGrid w:val="0"/>
              <w:ind w:firstLine="0" w:firstLineChars="0"/>
              <w:jc w:val="center"/>
              <w:rPr>
                <w:rFonts w:ascii="宋体" w:hAnsi="宋体"/>
                <w:color w:val="000000" w:themeColor="text1"/>
                <w:sz w:val="18"/>
                <w:szCs w:val="18"/>
              </w:rPr>
            </w:pPr>
            <w:r>
              <w:rPr>
                <w:rFonts w:ascii="宋体" w:hAnsi="宋体"/>
                <w:color w:val="000000" w:themeColor="text1"/>
                <w:sz w:val="18"/>
                <w:szCs w:val="18"/>
              </w:rPr>
              <w:t>不少于半年</w:t>
            </w:r>
          </w:p>
        </w:tc>
        <w:tc>
          <w:tcPr>
            <w:tcW w:w="567" w:type="dxa"/>
            <w:vAlign w:val="center"/>
          </w:tcPr>
          <w:p>
            <w:pPr>
              <w:pStyle w:val="10"/>
              <w:adjustRightInd w:val="0"/>
              <w:snapToGrid w:val="0"/>
              <w:ind w:firstLine="0" w:firstLineChars="0"/>
              <w:jc w:val="center"/>
              <w:rPr>
                <w:color w:val="000000" w:themeColor="text1"/>
                <w:sz w:val="18"/>
                <w:szCs w:val="18"/>
              </w:rPr>
            </w:pPr>
            <w:r>
              <w:rPr>
                <w:color w:val="000000" w:themeColor="text1"/>
                <w:sz w:val="18"/>
                <w:szCs w:val="18"/>
              </w:rPr>
              <w:t>6</w:t>
            </w:r>
          </w:p>
        </w:tc>
        <w:tc>
          <w:tcPr>
            <w:tcW w:w="709" w:type="dxa"/>
            <w:vAlign w:val="center"/>
          </w:tcPr>
          <w:p>
            <w:pPr>
              <w:jc w:val="center"/>
              <w:rPr>
                <w:color w:val="000000" w:themeColor="text1"/>
                <w:sz w:val="18"/>
                <w:szCs w:val="18"/>
              </w:rPr>
            </w:pPr>
            <w:r>
              <w:rPr>
                <w:color w:val="000000" w:themeColor="text1"/>
                <w:sz w:val="18"/>
                <w:szCs w:val="18"/>
              </w:rPr>
              <w:t>3-4</w:t>
            </w:r>
          </w:p>
        </w:tc>
        <w:tc>
          <w:tcPr>
            <w:tcW w:w="851" w:type="dxa"/>
            <w:vAlign w:val="center"/>
          </w:tcPr>
          <w:p>
            <w:pPr>
              <w:jc w:val="center"/>
              <w:rPr>
                <w:rFonts w:ascii="宋体"/>
                <w:color w:val="000000" w:themeColor="text1"/>
                <w:sz w:val="18"/>
                <w:szCs w:val="18"/>
              </w:rPr>
            </w:pPr>
            <w:r>
              <w:rPr>
                <w:rFonts w:hint="eastAsia" w:ascii="宋体" w:hAnsi="宋体"/>
                <w:color w:val="000000" w:themeColor="text1"/>
                <w:sz w:val="18"/>
                <w:szCs w:val="18"/>
              </w:rPr>
              <w:t>考查</w:t>
            </w:r>
          </w:p>
        </w:tc>
        <w:tc>
          <w:tcPr>
            <w:tcW w:w="708" w:type="dxa"/>
            <w:vMerge w:val="continue"/>
            <w:vAlign w:val="center"/>
          </w:tcPr>
          <w:p>
            <w:pPr>
              <w:adjustRightInd w:val="0"/>
              <w:snapToGrid w:val="0"/>
              <w:rPr>
                <w:rFonts w:ascii="宋体"/>
                <w:color w:val="000000" w:themeColor="text1"/>
                <w:szCs w:val="21"/>
              </w:rPr>
            </w:pPr>
          </w:p>
        </w:tc>
      </w:tr>
    </w:tbl>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rPr>
          <w:rFonts w:ascii="楷体_GB2312" w:eastAsia="楷体_GB2312"/>
          <w:color w:val="000000" w:themeColor="text1"/>
          <w:sz w:val="18"/>
          <w:szCs w:val="18"/>
        </w:rPr>
      </w:pPr>
    </w:p>
    <w:p>
      <w:pPr>
        <w:ind w:firstLine="540" w:firstLineChars="300"/>
        <w:rPr>
          <w:color w:val="000000" w:themeColor="text1"/>
        </w:rPr>
      </w:pPr>
      <w:r>
        <w:rPr>
          <w:rFonts w:hint="eastAsia" w:ascii="楷体_GB2312" w:eastAsia="楷体_GB2312"/>
          <w:color w:val="000000" w:themeColor="text1"/>
          <w:sz w:val="18"/>
          <w:szCs w:val="18"/>
        </w:rPr>
        <w:t>注：硕士研究生思想政治理论课程设置按照中宣部、教育部有关文件执行，其中《</w:t>
      </w:r>
      <w:r>
        <w:rPr>
          <w:rFonts w:hint="eastAsia" w:ascii="楷体_GB2312" w:hAnsi="宋体" w:eastAsia="楷体_GB2312"/>
          <w:color w:val="000000" w:themeColor="text1"/>
          <w:sz w:val="18"/>
          <w:szCs w:val="18"/>
        </w:rPr>
        <w:t>中国特色社会主义理论与实践研究》为</w:t>
      </w:r>
      <w:r>
        <w:rPr>
          <w:rFonts w:ascii="楷体_GB2312" w:hAnsi="宋体" w:eastAsia="楷体_GB2312"/>
          <w:color w:val="000000" w:themeColor="text1"/>
          <w:sz w:val="18"/>
          <w:szCs w:val="18"/>
        </w:rPr>
        <w:t>36</w:t>
      </w:r>
      <w:r>
        <w:rPr>
          <w:rFonts w:hint="eastAsia" w:ascii="楷体_GB2312" w:hAnsi="宋体" w:eastAsia="楷体_GB2312"/>
          <w:color w:val="000000" w:themeColor="text1"/>
          <w:sz w:val="18"/>
          <w:szCs w:val="18"/>
        </w:rPr>
        <w:t>学时，其中</w:t>
      </w:r>
      <w:r>
        <w:rPr>
          <w:rFonts w:hint="eastAsia" w:ascii="楷体_GB2312" w:eastAsia="楷体_GB2312"/>
          <w:color w:val="000000" w:themeColor="text1"/>
          <w:sz w:val="18"/>
          <w:szCs w:val="18"/>
        </w:rPr>
        <w:t>课内学时为</w:t>
      </w:r>
      <w:r>
        <w:rPr>
          <w:rFonts w:ascii="楷体_GB2312" w:eastAsia="楷体_GB2312"/>
          <w:color w:val="000000" w:themeColor="text1"/>
          <w:sz w:val="18"/>
          <w:szCs w:val="18"/>
        </w:rPr>
        <w:t>32</w:t>
      </w:r>
      <w:r>
        <w:rPr>
          <w:rFonts w:hint="eastAsia" w:ascii="楷体_GB2312" w:eastAsia="楷体_GB2312"/>
          <w:color w:val="000000" w:themeColor="text1"/>
          <w:sz w:val="18"/>
          <w:szCs w:val="18"/>
        </w:rPr>
        <w:t>学时、课外学时</w:t>
      </w:r>
      <w:r>
        <w:rPr>
          <w:rFonts w:ascii="楷体_GB2312" w:eastAsia="楷体_GB2312"/>
          <w:color w:val="000000" w:themeColor="text1"/>
          <w:sz w:val="18"/>
          <w:szCs w:val="18"/>
        </w:rPr>
        <w:t>4</w:t>
      </w:r>
      <w:r>
        <w:rPr>
          <w:rFonts w:hint="eastAsia" w:ascii="楷体_GB2312" w:eastAsia="楷体_GB2312"/>
          <w:color w:val="000000" w:themeColor="text1"/>
          <w:sz w:val="18"/>
          <w:szCs w:val="18"/>
        </w:rPr>
        <w:t>学时</w:t>
      </w:r>
      <w:r>
        <w:rPr>
          <w:rFonts w:hint="eastAsia" w:ascii="楷体_GB2312" w:hAnsi="宋体" w:eastAsia="楷体_GB2312"/>
          <w:color w:val="000000" w:themeColor="text1"/>
          <w:sz w:val="18"/>
          <w:szCs w:val="18"/>
        </w:rPr>
        <w:t>；《自然辩证法概论》、《</w:t>
      </w:r>
      <w:r>
        <w:rPr>
          <w:rFonts w:hint="eastAsia" w:ascii="楷体_GB2312" w:eastAsia="楷体_GB2312"/>
          <w:color w:val="000000" w:themeColor="text1"/>
          <w:sz w:val="18"/>
          <w:szCs w:val="18"/>
        </w:rPr>
        <w:t>马克思主义与社会科</w:t>
      </w:r>
      <w:r>
        <w:rPr>
          <w:rFonts w:hint="eastAsia" w:ascii="楷体_GB2312" w:hAnsi="宋体" w:eastAsia="楷体_GB2312"/>
          <w:color w:val="000000" w:themeColor="text1"/>
          <w:sz w:val="18"/>
          <w:szCs w:val="18"/>
        </w:rPr>
        <w:t>学方法论》为</w:t>
      </w:r>
      <w:r>
        <w:rPr>
          <w:rFonts w:ascii="楷体_GB2312" w:hAnsi="宋体" w:eastAsia="楷体_GB2312"/>
          <w:color w:val="000000" w:themeColor="text1"/>
          <w:sz w:val="18"/>
          <w:szCs w:val="18"/>
        </w:rPr>
        <w:t>18</w:t>
      </w:r>
      <w:r>
        <w:rPr>
          <w:rFonts w:hint="eastAsia" w:ascii="楷体_GB2312" w:hAnsi="宋体" w:eastAsia="楷体_GB2312"/>
          <w:color w:val="000000" w:themeColor="text1"/>
          <w:sz w:val="18"/>
          <w:szCs w:val="18"/>
        </w:rPr>
        <w:t>学时，其中课内学时</w:t>
      </w:r>
      <w:r>
        <w:rPr>
          <w:rFonts w:ascii="楷体_GB2312" w:hAnsi="宋体" w:eastAsia="楷体_GB2312"/>
          <w:color w:val="000000" w:themeColor="text1"/>
          <w:sz w:val="18"/>
          <w:szCs w:val="18"/>
        </w:rPr>
        <w:t>16</w:t>
      </w:r>
      <w:r>
        <w:rPr>
          <w:rFonts w:hint="eastAsia" w:ascii="楷体_GB2312" w:hAnsi="宋体" w:eastAsia="楷体_GB2312"/>
          <w:color w:val="000000" w:themeColor="text1"/>
          <w:sz w:val="18"/>
          <w:szCs w:val="18"/>
        </w:rPr>
        <w:t>学时、课外学时</w:t>
      </w:r>
      <w:r>
        <w:rPr>
          <w:rFonts w:ascii="楷体_GB2312" w:hAnsi="宋体" w:eastAsia="楷体_GB2312"/>
          <w:color w:val="000000" w:themeColor="text1"/>
          <w:sz w:val="18"/>
          <w:szCs w:val="18"/>
        </w:rPr>
        <w:t>2</w:t>
      </w:r>
      <w:r>
        <w:rPr>
          <w:rFonts w:hint="eastAsia" w:ascii="楷体_GB2312" w:hAnsi="宋体" w:eastAsia="楷体_GB2312"/>
          <w:color w:val="000000" w:themeColor="text1"/>
          <w:sz w:val="18"/>
          <w:szCs w:val="18"/>
        </w:rPr>
        <w:t>学时。</w:t>
      </w:r>
    </w:p>
    <w:p>
      <w:pPr>
        <w:pStyle w:val="59"/>
        <w:rPr>
          <w:color w:val="000000" w:themeColor="text1"/>
        </w:rPr>
      </w:pPr>
    </w:p>
    <w:p>
      <w:pPr>
        <w:pStyle w:val="59"/>
        <w:rPr>
          <w:color w:val="000000" w:themeColor="text1"/>
        </w:rPr>
      </w:pPr>
    </w:p>
    <w:p>
      <w:pPr>
        <w:pStyle w:val="59"/>
        <w:rPr>
          <w:color w:val="000000" w:themeColor="text1"/>
        </w:rPr>
      </w:pPr>
      <w:r>
        <w:rPr>
          <w:rFonts w:hint="eastAsia"/>
          <w:color w:val="000000" w:themeColor="text1"/>
        </w:rPr>
        <w:t>全中文授课外国来华留学硕士研究生</w:t>
      </w:r>
    </w:p>
    <w:p>
      <w:pPr>
        <w:pStyle w:val="59"/>
        <w:rPr>
          <w:color w:val="000000" w:themeColor="text1"/>
        </w:rPr>
      </w:pPr>
      <w:r>
        <w:rPr>
          <w:rFonts w:hint="eastAsia"/>
          <w:color w:val="000000" w:themeColor="text1"/>
        </w:rPr>
        <w:t xml:space="preserve">汉语国际教育硕士专业学位研究生培养方案 </w:t>
      </w:r>
    </w:p>
    <w:p>
      <w:pPr>
        <w:adjustRightInd w:val="0"/>
        <w:snapToGrid w:val="0"/>
        <w:spacing w:line="360" w:lineRule="auto"/>
        <w:jc w:val="center"/>
        <w:rPr>
          <w:rFonts w:ascii="Times New Roman" w:hAnsi="Times New Roman" w:eastAsia="黑体"/>
          <w:b/>
          <w:color w:val="000000" w:themeColor="text1"/>
          <w:sz w:val="24"/>
          <w:szCs w:val="24"/>
        </w:rPr>
      </w:pPr>
      <w:r>
        <w:rPr>
          <w:rFonts w:ascii="Times New Roman" w:hAnsi="Times New Roman" w:eastAsia="黑体"/>
          <w:b/>
          <w:color w:val="000000" w:themeColor="text1"/>
          <w:sz w:val="24"/>
          <w:szCs w:val="24"/>
        </w:rPr>
        <w:t>Postgraduate Program in</w:t>
      </w:r>
    </w:p>
    <w:p>
      <w:pPr>
        <w:adjustRightInd w:val="0"/>
        <w:snapToGrid w:val="0"/>
        <w:spacing w:line="360" w:lineRule="auto"/>
        <w:jc w:val="center"/>
        <w:rPr>
          <w:rFonts w:ascii="Times New Roman" w:hAnsi="Times New Roman" w:eastAsia="黑体"/>
          <w:b/>
          <w:color w:val="000000" w:themeColor="text1"/>
          <w:sz w:val="24"/>
          <w:szCs w:val="24"/>
        </w:rPr>
      </w:pPr>
      <w:r>
        <w:rPr>
          <w:rFonts w:ascii="Times New Roman" w:hAnsi="Times New Roman" w:eastAsia="黑体"/>
          <w:b/>
          <w:color w:val="000000" w:themeColor="text1"/>
          <w:sz w:val="24"/>
          <w:szCs w:val="24"/>
        </w:rPr>
        <w:t xml:space="preserve">      Master of Teaching Chinese to Speakers of Other Languages</w:t>
      </w:r>
      <w:r>
        <w:rPr>
          <w:rFonts w:hint="eastAsia" w:ascii="Times New Roman" w:hAnsi="Times New Roman" w:eastAsia="黑体"/>
          <w:b/>
          <w:color w:val="000000" w:themeColor="text1"/>
          <w:sz w:val="24"/>
          <w:szCs w:val="24"/>
        </w:rPr>
        <w:t xml:space="preserve"> </w:t>
      </w:r>
      <w:r>
        <w:rPr>
          <w:rFonts w:ascii="Times New Roman" w:hAnsi="Times New Roman" w:eastAsia="黑体"/>
          <w:b/>
          <w:color w:val="000000" w:themeColor="text1"/>
          <w:sz w:val="24"/>
          <w:szCs w:val="24"/>
        </w:rPr>
        <w:t>(MTCS</w:t>
      </w:r>
      <w:r>
        <w:rPr>
          <w:rFonts w:hint="eastAsia" w:ascii="Times New Roman" w:hAnsi="Times New Roman" w:eastAsia="黑体"/>
          <w:b/>
          <w:color w:val="000000" w:themeColor="text1"/>
          <w:sz w:val="24"/>
          <w:szCs w:val="24"/>
        </w:rPr>
        <w:t>O</w:t>
      </w:r>
      <w:r>
        <w:rPr>
          <w:rFonts w:ascii="Times New Roman" w:hAnsi="Times New Roman" w:eastAsia="黑体"/>
          <w:b/>
          <w:color w:val="000000" w:themeColor="text1"/>
          <w:sz w:val="24"/>
          <w:szCs w:val="24"/>
        </w:rPr>
        <w:t>L)</w:t>
      </w:r>
    </w:p>
    <w:p>
      <w:pPr>
        <w:pStyle w:val="54"/>
        <w:rPr>
          <w:color w:val="000000" w:themeColor="text1"/>
        </w:rPr>
      </w:pPr>
      <w:r>
        <w:rPr>
          <w:rFonts w:hint="eastAsia"/>
          <w:color w:val="000000" w:themeColor="text1"/>
        </w:rPr>
        <w:t>（适用于来华留学生）</w:t>
      </w:r>
    </w:p>
    <w:p>
      <w:pPr>
        <w:pStyle w:val="54"/>
        <w:rPr>
          <w:rFonts w:ascii="Times New Roman" w:hAnsi="Times New Roman"/>
          <w:b/>
          <w:bCs/>
          <w:color w:val="000000" w:themeColor="text1"/>
          <w:spacing w:val="80"/>
          <w:sz w:val="24"/>
          <w:szCs w:val="24"/>
        </w:rPr>
      </w:pPr>
    </w:p>
    <w:p>
      <w:pPr>
        <w:spacing w:line="360" w:lineRule="auto"/>
        <w:rPr>
          <w:rFonts w:ascii="Times New Roman" w:hAnsi="Times New Roman"/>
          <w:b/>
          <w:bCs/>
          <w:color w:val="000000" w:themeColor="text1"/>
          <w:spacing w:val="80"/>
          <w:sz w:val="24"/>
          <w:szCs w:val="24"/>
        </w:rPr>
      </w:pPr>
      <w:r>
        <w:rPr>
          <w:rFonts w:ascii="Times New Roman" w:hAnsi="Times New Roman"/>
          <w:b/>
          <w:bCs/>
          <w:color w:val="000000" w:themeColor="text1"/>
          <w:sz w:val="24"/>
          <w:szCs w:val="24"/>
        </w:rPr>
        <w:t>一、培养目标</w:t>
      </w:r>
      <w:r>
        <w:rPr>
          <w:rFonts w:hint="eastAsia" w:ascii="Times New Roman" w:hAnsi="Times New Roman"/>
          <w:b/>
          <w:color w:val="000000" w:themeColor="text1"/>
          <w:sz w:val="24"/>
          <w:szCs w:val="24"/>
        </w:rPr>
        <w:t xml:space="preserve"> </w:t>
      </w:r>
      <w:r>
        <w:rPr>
          <w:rFonts w:ascii="Times New Roman" w:hAnsi="Times New Roman"/>
          <w:b/>
          <w:color w:val="000000" w:themeColor="text1"/>
          <w:sz w:val="24"/>
          <w:szCs w:val="24"/>
        </w:rPr>
        <w:t>Training Objectives</w:t>
      </w:r>
      <w:r>
        <w:rPr>
          <w:rFonts w:hint="eastAsia" w:ascii="Times New Roman" w:hAnsi="Times New Roman"/>
          <w:b/>
          <w:color w:val="000000" w:themeColor="text1"/>
          <w:sz w:val="24"/>
          <w:szCs w:val="24"/>
        </w:rPr>
        <w:t xml:space="preserve"> </w:t>
      </w:r>
    </w:p>
    <w:p>
      <w:pPr>
        <w:spacing w:line="360" w:lineRule="auto"/>
        <w:rPr>
          <w:rFonts w:ascii="Times New Roman" w:hAnsi="Times New Roman"/>
          <w:color w:val="000000" w:themeColor="text1"/>
          <w:szCs w:val="21"/>
        </w:rPr>
      </w:pPr>
      <w:r>
        <w:rPr>
          <w:rFonts w:ascii="Times New Roman" w:hAnsi="Times New Roman"/>
          <w:color w:val="000000" w:themeColor="text1"/>
          <w:sz w:val="24"/>
          <w:szCs w:val="24"/>
        </w:rPr>
        <w:t xml:space="preserve">   </w:t>
      </w:r>
      <w:r>
        <w:rPr>
          <w:rFonts w:ascii="Times New Roman" w:hAnsi="Times New Roman"/>
          <w:color w:val="000000" w:themeColor="text1"/>
          <w:szCs w:val="21"/>
        </w:rPr>
        <w:t xml:space="preserve"> </w:t>
      </w:r>
      <w:r>
        <w:rPr>
          <w:rFonts w:ascii="Times New Roman" w:hAnsi="Times New Roman"/>
          <w:color w:val="000000" w:themeColor="text1"/>
          <w:kern w:val="0"/>
          <w:szCs w:val="21"/>
        </w:rPr>
        <w:t>培养了解中国，理解中华文化，具有较熟练的中国语言文化教学技能和跨文化交际能力，胜任汉语教学任务的具备良好职业道德的专门人才。</w:t>
      </w:r>
    </w:p>
    <w:p>
      <w:pPr>
        <w:spacing w:line="360" w:lineRule="auto"/>
        <w:ind w:firstLine="420" w:firstLineChars="200"/>
        <w:rPr>
          <w:rFonts w:ascii="Times New Roman" w:hAnsi="Times New Roman"/>
          <w:color w:val="000000" w:themeColor="text1"/>
          <w:kern w:val="0"/>
          <w:szCs w:val="21"/>
        </w:rPr>
      </w:pPr>
      <w:bookmarkStart w:id="2" w:name="OLE_LINK5"/>
      <w:r>
        <w:rPr>
          <w:rFonts w:ascii="Times New Roman" w:hAnsi="Times New Roman"/>
          <w:color w:val="000000" w:themeColor="text1"/>
          <w:kern w:val="0"/>
          <w:szCs w:val="21"/>
        </w:rPr>
        <w:t xml:space="preserve">This program is oriented to cultivate professionals with strong work ethics and good understanding of China and Chinese culture, proficient in teaching skills and techniques in Chinese language and culture, good at intercultural communication, and thus qualified for Chinese teaching.   </w:t>
      </w:r>
      <w:r>
        <w:rPr>
          <w:rFonts w:ascii="Times New Roman" w:hAnsi="Times New Roman"/>
          <w:color w:val="000000" w:themeColor="text1"/>
          <w:sz w:val="20"/>
          <w:szCs w:val="20"/>
        </w:rPr>
        <w:t xml:space="preserve">  </w:t>
      </w:r>
    </w:p>
    <w:bookmarkEnd w:id="2"/>
    <w:p>
      <w:pPr>
        <w:spacing w:line="360" w:lineRule="auto"/>
        <w:rPr>
          <w:rFonts w:ascii="Times New Roman" w:hAnsi="Times New Roman"/>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二、研究方向</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Research Orientation</w:t>
      </w:r>
      <w:r>
        <w:rPr>
          <w:rFonts w:hint="eastAsia" w:ascii="Times New Roman" w:hAnsi="Times New Roman"/>
          <w:b/>
          <w:bCs/>
          <w:color w:val="000000" w:themeColor="text1"/>
          <w:sz w:val="24"/>
          <w:szCs w:val="24"/>
        </w:rPr>
        <w:t xml:space="preserve"> </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汉语国际教育</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Teaching Chinese to Speakers of Other Languages</w:t>
      </w:r>
      <w:r>
        <w:rPr>
          <w:rFonts w:ascii="Times New Roman" w:hAnsi="Times New Roman"/>
          <w:color w:val="000000" w:themeColor="text1"/>
          <w:kern w:val="0"/>
          <w:szCs w:val="21"/>
        </w:rPr>
        <w:br w:type="textWrapping"/>
      </w: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三、学习方式</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Study Mode</w:t>
      </w:r>
      <w:r>
        <w:rPr>
          <w:rFonts w:hint="eastAsia" w:ascii="Times New Roman" w:hAnsi="Times New Roman"/>
          <w:b/>
          <w:bCs/>
          <w:color w:val="000000" w:themeColor="text1"/>
          <w:sz w:val="24"/>
          <w:szCs w:val="24"/>
        </w:rPr>
        <w:t xml:space="preserve"> </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第一</w:t>
      </w:r>
      <w:r>
        <w:rPr>
          <w:rFonts w:hint="eastAsia" w:ascii="Times New Roman" w:hAnsi="Times New Roman"/>
          <w:color w:val="000000" w:themeColor="text1"/>
          <w:kern w:val="0"/>
          <w:szCs w:val="21"/>
        </w:rPr>
        <w:t>学</w:t>
      </w:r>
      <w:r>
        <w:rPr>
          <w:rFonts w:ascii="Times New Roman" w:hAnsi="Times New Roman"/>
          <w:color w:val="000000" w:themeColor="text1"/>
          <w:kern w:val="0"/>
          <w:szCs w:val="21"/>
        </w:rPr>
        <w:t>年实行高密度的教学计划，学完主要学位课程；第三学期回生源国实习；第四学期开始在导师指导下撰写毕业论文。</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 xml:space="preserve">The first year study focuses on the completion of intensive core courses, the third semester study is carried out in students’ home country in the form of internship, and the fourth semester study centers on graduation thesis under the guidance of supervisors. </w:t>
      </w:r>
      <w:r>
        <w:rPr>
          <w:rFonts w:hint="eastAsia" w:ascii="Times New Roman" w:hAnsi="Times New Roman"/>
          <w:color w:val="000000" w:themeColor="text1"/>
          <w:kern w:val="0"/>
          <w:szCs w:val="21"/>
        </w:rPr>
        <w:t xml:space="preserve"> </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四、学习年限和学位 Length of Schooling and Degrees</w:t>
      </w:r>
    </w:p>
    <w:p>
      <w:pPr>
        <w:spacing w:line="360" w:lineRule="auto"/>
        <w:ind w:firstLine="420" w:firstLineChars="200"/>
        <w:rPr>
          <w:rFonts w:ascii="Times New Roman" w:hAnsi="Times New Roman"/>
          <w:color w:val="000000" w:themeColor="text1"/>
          <w:szCs w:val="21"/>
        </w:rPr>
      </w:pPr>
      <w:r>
        <w:rPr>
          <w:rFonts w:ascii="Times New Roman" w:hAnsi="Times New Roman"/>
          <w:color w:val="000000" w:themeColor="text1"/>
          <w:szCs w:val="21"/>
        </w:rPr>
        <w:t>全中文授课的汉语国际教育外国来华留学硕士专业学位研究生的基本学制为2.5年</w:t>
      </w:r>
      <w:r>
        <w:rPr>
          <w:rFonts w:hint="eastAsia"/>
          <w:color w:val="000000" w:themeColor="text1"/>
          <w:kern w:val="0"/>
          <w:szCs w:val="21"/>
        </w:rPr>
        <w:t>，其中课程学习1～1.5年，实习、学位论文撰写和答辩1～1.5年</w:t>
      </w:r>
      <w:r>
        <w:rPr>
          <w:rFonts w:ascii="Times New Roman" w:hAnsi="Times New Roman"/>
          <w:color w:val="000000" w:themeColor="text1"/>
          <w:szCs w:val="21"/>
        </w:rPr>
        <w:t>。因特殊原因未能在基本学制年限内完成学习、研究任务或论文答辩的，可由本人提前三个月提出申请，指导教师签署意见，经学院同意并报研究生处审核，可延长学习年限。修业年限不得超过5年。</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学位授予：汉语国际教育硕士。</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This is a Master of Teaching Chinese to Speakers of Other Languages. The length of schooling is 2.5 years in which 1</w:t>
      </w:r>
      <w:r>
        <w:rPr>
          <w:rFonts w:ascii="Times New Roman"/>
          <w:color w:val="000000" w:themeColor="text1"/>
          <w:kern w:val="0"/>
          <w:szCs w:val="21"/>
        </w:rPr>
        <w:t>～</w:t>
      </w:r>
      <w:r>
        <w:rPr>
          <w:rFonts w:ascii="Times New Roman" w:hAnsi="Times New Roman"/>
          <w:color w:val="000000" w:themeColor="text1"/>
          <w:kern w:val="0"/>
          <w:szCs w:val="21"/>
        </w:rPr>
        <w:t>1.5 year for course study and 1</w:t>
      </w:r>
      <w:r>
        <w:rPr>
          <w:rFonts w:ascii="Times New Roman"/>
          <w:color w:val="000000" w:themeColor="text1"/>
          <w:kern w:val="0"/>
          <w:szCs w:val="21"/>
        </w:rPr>
        <w:t>～</w:t>
      </w:r>
      <w:r>
        <w:rPr>
          <w:rFonts w:ascii="Times New Roman" w:hAnsi="Times New Roman"/>
          <w:color w:val="000000" w:themeColor="text1"/>
          <w:kern w:val="0"/>
          <w:szCs w:val="21"/>
        </w:rPr>
        <w:t xml:space="preserve">1.5 years for dissertation research and practice. The students who are </w:t>
      </w:r>
      <w:r>
        <w:rPr>
          <w:rFonts w:ascii="Times New Roman" w:hAnsi="Times New Roman"/>
          <w:color w:val="000000" w:themeColor="text1"/>
          <w:kern w:val="0"/>
          <w:szCs w:val="21"/>
          <w:highlight w:val="white"/>
        </w:rPr>
        <w:t>unable to complete stud</w:t>
      </w:r>
      <w:r>
        <w:rPr>
          <w:rFonts w:ascii="Times New Roman" w:hAnsi="Times New Roman"/>
          <w:color w:val="000000" w:themeColor="text1"/>
          <w:kern w:val="0"/>
          <w:szCs w:val="21"/>
        </w:rPr>
        <w:t>ies, research task or thesis defense within schooling years because of special reasons</w:t>
      </w:r>
      <w:bookmarkStart w:id="3" w:name="OLE_LINK7"/>
      <w:bookmarkStart w:id="4" w:name="OLE_LINK8"/>
      <w:r>
        <w:rPr>
          <w:rFonts w:ascii="Times New Roman" w:hAnsi="Times New Roman"/>
          <w:color w:val="000000" w:themeColor="text1"/>
          <w:kern w:val="0"/>
          <w:szCs w:val="21"/>
        </w:rPr>
        <w:t xml:space="preserve"> can apply for an extension. But the students should submit such application to relevant department 3 months in advance before graduation to get the permit. </w:t>
      </w:r>
      <w:bookmarkEnd w:id="3"/>
      <w:bookmarkEnd w:id="4"/>
      <w:r>
        <w:rPr>
          <w:rFonts w:ascii="Times New Roman" w:hAnsi="Times New Roman"/>
          <w:color w:val="000000" w:themeColor="text1"/>
          <w:kern w:val="0"/>
          <w:szCs w:val="21"/>
        </w:rPr>
        <w:t>The students have a maximum of 5 years to finish the Master Degree.</w:t>
      </w:r>
    </w:p>
    <w:p>
      <w:pPr>
        <w:spacing w:line="360" w:lineRule="auto"/>
        <w:rPr>
          <w:rFonts w:ascii="Times New Roman" w:hAnsi="Times New Roman"/>
          <w:color w:val="000000" w:themeColor="text1"/>
          <w:kern w:val="0"/>
          <w:szCs w:val="21"/>
        </w:rPr>
      </w:pPr>
      <w:r>
        <w:rPr>
          <w:rFonts w:hint="eastAsia" w:ascii="Times New Roman" w:hAnsi="Times New Roman"/>
          <w:color w:val="000000" w:themeColor="text1"/>
          <w:kern w:val="0"/>
          <w:szCs w:val="21"/>
        </w:rPr>
        <w:t xml:space="preserve">     </w:t>
      </w:r>
      <w:r>
        <w:rPr>
          <w:rFonts w:ascii="Times New Roman" w:hAnsi="Times New Roman"/>
          <w:color w:val="000000" w:themeColor="text1"/>
          <w:kern w:val="0"/>
          <w:szCs w:val="21"/>
        </w:rPr>
        <w:t>Degree Conferred: Master of Teaching Chinese to Speakers of Other Languages</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五、课程设置及学分要求</w:t>
      </w:r>
      <w:r>
        <w:rPr>
          <w:rFonts w:hint="eastAsia" w:ascii="Times New Roman" w:hAnsi="Times New Roman"/>
          <w:b/>
          <w:bCs/>
          <w:color w:val="000000" w:themeColor="text1"/>
          <w:sz w:val="24"/>
          <w:szCs w:val="24"/>
        </w:rPr>
        <w:t xml:space="preserve"> </w:t>
      </w:r>
      <w:r>
        <w:rPr>
          <w:rFonts w:ascii="Times New Roman" w:hAnsi="Times New Roman"/>
          <w:b/>
          <w:bCs/>
          <w:color w:val="000000" w:themeColor="text1"/>
          <w:sz w:val="24"/>
          <w:szCs w:val="24"/>
        </w:rPr>
        <w:t xml:space="preserve">Curriculum and Requirements for </w:t>
      </w:r>
      <w:r>
        <w:rPr>
          <w:rFonts w:hint="eastAsia" w:ascii="Times New Roman" w:hAnsi="Times New Roman"/>
          <w:b/>
          <w:bCs/>
          <w:color w:val="000000" w:themeColor="text1"/>
          <w:sz w:val="24"/>
          <w:szCs w:val="24"/>
        </w:rPr>
        <w:t>C</w:t>
      </w:r>
      <w:r>
        <w:rPr>
          <w:rFonts w:ascii="Times New Roman" w:hAnsi="Times New Roman"/>
          <w:b/>
          <w:bCs/>
          <w:color w:val="000000" w:themeColor="text1"/>
          <w:sz w:val="24"/>
          <w:szCs w:val="24"/>
        </w:rPr>
        <w:t>redit</w:t>
      </w:r>
    </w:p>
    <w:p>
      <w:pPr>
        <w:spacing w:line="360" w:lineRule="auto"/>
        <w:ind w:firstLine="420" w:firstLineChars="200"/>
        <w:rPr>
          <w:rFonts w:ascii="Times New Roman" w:hAnsi="Times New Roman"/>
          <w:color w:val="000000" w:themeColor="text1"/>
          <w:szCs w:val="21"/>
        </w:rPr>
      </w:pPr>
      <w:r>
        <w:rPr>
          <w:rFonts w:ascii="Times New Roman" w:hAnsi="Times New Roman"/>
          <w:color w:val="000000" w:themeColor="text1"/>
          <w:szCs w:val="21"/>
        </w:rPr>
        <w:t>（一）学分要求</w:t>
      </w:r>
      <w:r>
        <w:rPr>
          <w:rFonts w:hint="eastAsia" w:ascii="Times New Roman" w:hAnsi="Times New Roman"/>
          <w:color w:val="000000" w:themeColor="text1"/>
          <w:szCs w:val="21"/>
        </w:rPr>
        <w:t xml:space="preserve"> </w:t>
      </w:r>
      <w:r>
        <w:rPr>
          <w:rFonts w:ascii="Times New Roman" w:hAnsi="Times New Roman"/>
          <w:color w:val="000000" w:themeColor="text1"/>
          <w:szCs w:val="21"/>
        </w:rPr>
        <w:t xml:space="preserve">Requirements for </w:t>
      </w:r>
      <w:r>
        <w:rPr>
          <w:rFonts w:hint="eastAsia" w:ascii="Times New Roman" w:hAnsi="Times New Roman"/>
          <w:color w:val="000000" w:themeColor="text1"/>
          <w:szCs w:val="21"/>
        </w:rPr>
        <w:t>C</w:t>
      </w:r>
      <w:r>
        <w:rPr>
          <w:rFonts w:ascii="Times New Roman" w:hAnsi="Times New Roman"/>
          <w:color w:val="000000" w:themeColor="text1"/>
          <w:szCs w:val="21"/>
        </w:rPr>
        <w:t>redit</w:t>
      </w:r>
    </w:p>
    <w:p>
      <w:pPr>
        <w:spacing w:line="360" w:lineRule="auto"/>
        <w:ind w:firstLine="420" w:firstLineChars="200"/>
        <w:rPr>
          <w:rFonts w:ascii="Times New Roman" w:hAnsi="Times New Roman"/>
          <w:color w:val="000000" w:themeColor="text1"/>
          <w:szCs w:val="21"/>
        </w:rPr>
      </w:pPr>
      <w:r>
        <w:rPr>
          <w:rFonts w:ascii="Times New Roman" w:hAnsi="Times New Roman"/>
          <w:color w:val="000000" w:themeColor="text1"/>
          <w:szCs w:val="21"/>
        </w:rPr>
        <w:t>累计修习总学分40学分。</w:t>
      </w:r>
    </w:p>
    <w:p>
      <w:pPr>
        <w:spacing w:line="360" w:lineRule="auto"/>
        <w:ind w:firstLine="420" w:firstLineChars="200"/>
        <w:rPr>
          <w:rFonts w:ascii="Times New Roman" w:hAnsi="Times New Roman"/>
          <w:color w:val="000000" w:themeColor="text1"/>
          <w:kern w:val="0"/>
          <w:szCs w:val="21"/>
        </w:rPr>
      </w:pPr>
      <w:r>
        <w:rPr>
          <w:rFonts w:ascii="Times New Roman" w:hAnsi="Times New Roman"/>
          <w:color w:val="000000" w:themeColor="text1"/>
          <w:kern w:val="0"/>
          <w:szCs w:val="21"/>
        </w:rPr>
        <w:t xml:space="preserve">The Minimum Graduation Credits: 40 Credits.  </w:t>
      </w:r>
    </w:p>
    <w:p>
      <w:pPr>
        <w:spacing w:line="360" w:lineRule="auto"/>
        <w:ind w:firstLine="420" w:firstLineChars="200"/>
        <w:rPr>
          <w:rFonts w:ascii="Times New Roman" w:hAnsi="Times New Roman"/>
          <w:color w:val="000000" w:themeColor="text1"/>
          <w:szCs w:val="21"/>
        </w:rPr>
      </w:pPr>
      <w:r>
        <w:rPr>
          <w:rFonts w:ascii="Times New Roman" w:hAnsi="Times New Roman"/>
          <w:color w:val="000000" w:themeColor="text1"/>
          <w:szCs w:val="21"/>
        </w:rPr>
        <w:t>（二）课程设置</w:t>
      </w:r>
      <w:r>
        <w:rPr>
          <w:rFonts w:hint="eastAsia" w:ascii="Times New Roman" w:hAnsi="Times New Roman"/>
          <w:color w:val="000000" w:themeColor="text1"/>
          <w:szCs w:val="21"/>
        </w:rPr>
        <w:t xml:space="preserve"> </w:t>
      </w:r>
      <w:r>
        <w:rPr>
          <w:rFonts w:ascii="Times New Roman" w:hAnsi="Times New Roman"/>
          <w:color w:val="000000" w:themeColor="text1"/>
          <w:szCs w:val="21"/>
        </w:rPr>
        <w:t>Curriculum</w:t>
      </w:r>
    </w:p>
    <w:p>
      <w:pPr>
        <w:spacing w:line="360" w:lineRule="auto"/>
        <w:ind w:firstLine="420" w:firstLineChars="200"/>
        <w:rPr>
          <w:color w:val="000000" w:themeColor="text1"/>
        </w:rPr>
      </w:pPr>
      <w:r>
        <w:rPr>
          <w:rFonts w:hint="eastAsia" w:ascii="Times New Roman" w:hAnsi="Times New Roman"/>
          <w:color w:val="000000" w:themeColor="text1"/>
          <w:szCs w:val="21"/>
        </w:rPr>
        <w:t>具体课程设置附后 Attached is the detailed curriculum schedule.</w:t>
      </w:r>
    </w:p>
    <w:p>
      <w:pPr>
        <w:pStyle w:val="60"/>
        <w:spacing w:before="156"/>
        <w:rPr>
          <w:rFonts w:ascii="Times New Roman" w:hAnsi="Times New Roman" w:eastAsia="宋体"/>
          <w:color w:val="000000" w:themeColor="text1"/>
        </w:rPr>
      </w:pPr>
      <w:r>
        <w:rPr>
          <w:rFonts w:hint="eastAsia" w:ascii="Times New Roman" w:eastAsia="宋体"/>
          <w:color w:val="000000" w:themeColor="text1"/>
        </w:rPr>
        <w:t>六</w:t>
      </w:r>
      <w:r>
        <w:rPr>
          <w:rFonts w:ascii="Times New Roman" w:eastAsia="宋体"/>
          <w:color w:val="000000" w:themeColor="text1"/>
        </w:rPr>
        <w:t>、培养方式</w:t>
      </w:r>
      <w:r>
        <w:rPr>
          <w:rFonts w:hint="eastAsia" w:ascii="Times New Roman" w:hAnsi="Times New Roman"/>
          <w:b w:val="0"/>
          <w:bCs w:val="0"/>
          <w:color w:val="000000" w:themeColor="text1"/>
        </w:rPr>
        <w:t xml:space="preserve"> </w:t>
      </w:r>
      <w:r>
        <w:rPr>
          <w:rFonts w:ascii="Times New Roman" w:hAnsi="Times New Roman" w:eastAsia="宋体"/>
          <w:color w:val="000000" w:themeColor="text1"/>
        </w:rPr>
        <w:t>Training Mode</w:t>
      </w:r>
    </w:p>
    <w:p>
      <w:pPr>
        <w:pStyle w:val="61"/>
        <w:spacing w:before="156"/>
        <w:ind w:firstLine="420" w:firstLineChars="200"/>
        <w:rPr>
          <w:rFonts w:ascii="Times New Roman" w:hAnsi="Times New Roman"/>
          <w:color w:val="000000" w:themeColor="text1"/>
        </w:rPr>
      </w:pPr>
      <w:r>
        <w:rPr>
          <w:rFonts w:ascii="Times New Roman"/>
          <w:color w:val="000000" w:themeColor="text1"/>
        </w:rPr>
        <w:t>研究生的培养实行导师负责制和</w:t>
      </w:r>
      <w:bookmarkStart w:id="5" w:name="OLE_LINK2"/>
      <w:r>
        <w:rPr>
          <w:rFonts w:ascii="Times New Roman"/>
          <w:color w:val="000000" w:themeColor="text1"/>
        </w:rPr>
        <w:t>研究生指导小组</w:t>
      </w:r>
      <w:bookmarkEnd w:id="5"/>
      <w:r>
        <w:rPr>
          <w:rFonts w:ascii="Times New Roman"/>
          <w:color w:val="000000" w:themeColor="text1"/>
        </w:rPr>
        <w:t>集体指导相结合的原则。</w:t>
      </w:r>
      <w:bookmarkStart w:id="6" w:name="OLE_LINK6"/>
      <w:bookmarkStart w:id="7" w:name="OLE_LINK3"/>
      <w:r>
        <w:rPr>
          <w:rFonts w:ascii="Times New Roman"/>
          <w:color w:val="000000" w:themeColor="text1"/>
        </w:rPr>
        <w:t>提倡建立研究生指导小组，旨在优化研究生的学术环境，博采众长，有利于培养研究生良好的协作精神。</w:t>
      </w:r>
    </w:p>
    <w:bookmarkEnd w:id="6"/>
    <w:bookmarkEnd w:id="7"/>
    <w:p>
      <w:pPr>
        <w:pStyle w:val="61"/>
        <w:spacing w:before="156"/>
        <w:ind w:firstLine="420" w:firstLineChars="200"/>
        <w:rPr>
          <w:rFonts w:ascii="Times New Roman" w:hAnsi="Times New Roman"/>
          <w:color w:val="000000" w:themeColor="text1"/>
        </w:rPr>
      </w:pPr>
      <w:r>
        <w:rPr>
          <w:rFonts w:ascii="Times New Roman"/>
          <w:color w:val="000000" w:themeColor="text1"/>
        </w:rPr>
        <w:t>研究生的课程教学要贯彻教学相长和因材施教的原则，可采用讲授、自学、课堂讨论、专题报告、写读书笔记等多种方式进行。提倡</w:t>
      </w:r>
      <w:bookmarkStart w:id="8" w:name="OLE_LINK9"/>
      <w:bookmarkStart w:id="9" w:name="OLE_LINK10"/>
      <w:r>
        <w:rPr>
          <w:rFonts w:ascii="Times New Roman"/>
          <w:color w:val="000000" w:themeColor="text1"/>
        </w:rPr>
        <w:t>讲授与课堂讨论相结合的教学方式</w:t>
      </w:r>
      <w:bookmarkEnd w:id="8"/>
      <w:bookmarkEnd w:id="9"/>
      <w:r>
        <w:rPr>
          <w:rFonts w:ascii="Times New Roman"/>
          <w:color w:val="000000" w:themeColor="text1"/>
        </w:rPr>
        <w:t>，充分发挥教师的作用和学生的主观能动性。既要使研究生认真学习基础理论和专门知识，又要使他们掌握科学研究的方法和技能。课程教学要注重实效，严格考核。</w:t>
      </w:r>
    </w:p>
    <w:p>
      <w:pPr>
        <w:pStyle w:val="10"/>
        <w:spacing w:line="360" w:lineRule="auto"/>
        <w:ind w:firstLine="480" w:firstLineChars="200"/>
        <w:rPr>
          <w:color w:val="000000" w:themeColor="text1"/>
          <w:szCs w:val="21"/>
        </w:rPr>
      </w:pPr>
      <w:r>
        <w:rPr>
          <w:color w:val="000000" w:themeColor="text1"/>
          <w:szCs w:val="21"/>
        </w:rPr>
        <w:t xml:space="preserve">The postgraduate is supervised by master tutor and steering group. The establishment of steering group which aims to optimize the academic environment of students will be good for cultivating students’ spirit of cooperation. </w:t>
      </w:r>
    </w:p>
    <w:p>
      <w:pPr>
        <w:pStyle w:val="10"/>
        <w:spacing w:line="360" w:lineRule="auto"/>
        <w:ind w:firstLine="480" w:firstLineChars="200"/>
        <w:rPr>
          <w:color w:val="000000" w:themeColor="text1"/>
          <w:szCs w:val="21"/>
        </w:rPr>
      </w:pPr>
      <w:r>
        <w:rPr>
          <w:color w:val="000000" w:themeColor="text1"/>
          <w:szCs w:val="21"/>
        </w:rPr>
        <w:t>The teaching method should be helpful to both teachers and students and suit the ability of each student. It could be in various ways, such as classroom teaching, self-studying, class discussing, writing report, or writing reading notes. The combination of classroom teaching and class discussing during class time will allow the teacher to full play his/her role in class and excite the study enthusiasm of students. The students should grasp scientific research method and technology while studying basic theories and specialized knowledge at school. Teaching should be pragmatic and examination should be strict.</w:t>
      </w:r>
    </w:p>
    <w:p>
      <w:pPr>
        <w:spacing w:line="360" w:lineRule="auto"/>
        <w:rPr>
          <w:rFonts w:ascii="Times New Roman" w:hAnsi="Times New Roman"/>
          <w:b/>
          <w:bCs/>
          <w:color w:val="000000" w:themeColor="text1"/>
          <w:sz w:val="24"/>
          <w:szCs w:val="24"/>
        </w:rPr>
      </w:pPr>
    </w:p>
    <w:p>
      <w:pPr>
        <w:spacing w:line="360" w:lineRule="auto"/>
        <w:rPr>
          <w:rFonts w:ascii="Times New Roman" w:hAnsi="Times New Roman"/>
          <w:b/>
          <w:bCs/>
          <w:color w:val="000000" w:themeColor="text1"/>
          <w:sz w:val="24"/>
          <w:szCs w:val="24"/>
        </w:rPr>
      </w:pPr>
      <w:r>
        <w:rPr>
          <w:rFonts w:hint="eastAsia" w:ascii="Times New Roman" w:hAnsi="Times New Roman"/>
          <w:b/>
          <w:bCs/>
          <w:color w:val="000000" w:themeColor="text1"/>
          <w:sz w:val="24"/>
          <w:szCs w:val="24"/>
        </w:rPr>
        <w:t>七</w:t>
      </w:r>
      <w:r>
        <w:rPr>
          <w:rFonts w:ascii="Times New Roman" w:hAnsi="Times New Roman"/>
          <w:b/>
          <w:bCs/>
          <w:color w:val="000000" w:themeColor="text1"/>
          <w:sz w:val="24"/>
          <w:szCs w:val="24"/>
        </w:rPr>
        <w:t xml:space="preserve">、培养过程实施  Performance of </w:t>
      </w:r>
      <w:r>
        <w:rPr>
          <w:rFonts w:hint="eastAsia" w:ascii="Times New Roman" w:hAnsi="Times New Roman"/>
          <w:b/>
          <w:bCs/>
          <w:color w:val="000000" w:themeColor="text1"/>
          <w:sz w:val="24"/>
          <w:szCs w:val="24"/>
        </w:rPr>
        <w:t>T</w:t>
      </w:r>
      <w:r>
        <w:rPr>
          <w:rFonts w:ascii="Times New Roman" w:hAnsi="Times New Roman"/>
          <w:b/>
          <w:bCs/>
          <w:color w:val="000000" w:themeColor="text1"/>
          <w:sz w:val="24"/>
          <w:szCs w:val="24"/>
        </w:rPr>
        <w:t xml:space="preserve">raining </w:t>
      </w:r>
      <w:r>
        <w:rPr>
          <w:rFonts w:hint="eastAsia" w:ascii="Times New Roman" w:hAnsi="Times New Roman"/>
          <w:b/>
          <w:bCs/>
          <w:color w:val="000000" w:themeColor="text1"/>
          <w:sz w:val="24"/>
          <w:szCs w:val="24"/>
        </w:rPr>
        <w:t>P</w:t>
      </w:r>
      <w:r>
        <w:rPr>
          <w:rFonts w:ascii="Times New Roman" w:hAnsi="Times New Roman"/>
          <w:b/>
          <w:bCs/>
          <w:color w:val="000000" w:themeColor="text1"/>
          <w:sz w:val="24"/>
          <w:szCs w:val="24"/>
        </w:rPr>
        <w:t>rocess</w:t>
      </w:r>
    </w:p>
    <w:p>
      <w:pPr>
        <w:pStyle w:val="61"/>
        <w:spacing w:before="156"/>
        <w:ind w:firstLine="420" w:firstLineChars="200"/>
        <w:rPr>
          <w:rFonts w:ascii="Times New Roman" w:hAnsi="Times New Roman"/>
          <w:color w:val="000000" w:themeColor="text1"/>
        </w:rPr>
      </w:pPr>
      <w:r>
        <w:rPr>
          <w:rFonts w:ascii="Times New Roman" w:hAnsi="Times New Roman"/>
          <w:color w:val="000000" w:themeColor="text1"/>
        </w:rPr>
        <w:t>根据《浙江科技学院关于外国来华留学硕士研究生培养工作规定（试行）》，加强研究生培养的目标管理，学院和学位点对研究生的课程教学、开题报告、学术活动、指导小组的确定、个人培养计划的制定和执行、中期考核以及学位论文的评阅和答辩等环节严格管理并加强检查，确保研究生培养质量。</w:t>
      </w:r>
    </w:p>
    <w:p>
      <w:pPr>
        <w:pStyle w:val="10"/>
        <w:spacing w:line="360" w:lineRule="auto"/>
        <w:ind w:firstLine="480" w:firstLineChars="200"/>
        <w:rPr>
          <w:color w:val="000000" w:themeColor="text1"/>
          <w:szCs w:val="21"/>
        </w:rPr>
      </w:pPr>
      <w:r>
        <w:rPr>
          <w:color w:val="000000" w:themeColor="text1"/>
          <w:szCs w:val="21"/>
        </w:rPr>
        <w:t xml:space="preserve">According to the “Regulations for overseas postgraduates education of Zhejiang University of Science and Technology (trial version)”, the subordinate school should strengthen the management of students education to ensure the quality of students, including course teaching, thesis proposal, academic activity, establishment of steering group, the formulation and implementation of personal training schedule, interim assessment and the arrangement of appraisement and the defence of graduation thesis. </w:t>
      </w:r>
      <w:r>
        <w:rPr>
          <w:b/>
          <w:bCs/>
          <w:color w:val="000000" w:themeColor="text1"/>
        </w:rPr>
        <w:t xml:space="preserve"> </w:t>
      </w:r>
    </w:p>
    <w:p>
      <w:pPr>
        <w:spacing w:line="360" w:lineRule="auto"/>
        <w:rPr>
          <w:rFonts w:ascii="Times New Roman" w:hAnsi="Times New Roman"/>
          <w:color w:val="000000" w:themeColor="text1"/>
        </w:rPr>
      </w:pPr>
      <w:r>
        <w:rPr>
          <w:rFonts w:ascii="Times New Roman" w:hAnsi="Times New Roman"/>
          <w:color w:val="000000" w:themeColor="text1"/>
        </w:rPr>
        <w:t xml:space="preserve">（一）制订个人培养计划 </w:t>
      </w:r>
      <w:r>
        <w:rPr>
          <w:rFonts w:hint="eastAsia" w:ascii="Times New Roman" w:hAnsi="Times New Roman"/>
          <w:color w:val="000000" w:themeColor="text1"/>
        </w:rPr>
        <w:t>P</w:t>
      </w:r>
      <w:r>
        <w:rPr>
          <w:rFonts w:ascii="Times New Roman" w:hAnsi="Times New Roman"/>
          <w:color w:val="000000" w:themeColor="text1"/>
        </w:rPr>
        <w:t xml:space="preserve">ersonal </w:t>
      </w:r>
      <w:r>
        <w:rPr>
          <w:rFonts w:hint="eastAsia" w:ascii="Times New Roman" w:hAnsi="Times New Roman"/>
          <w:color w:val="000000" w:themeColor="text1"/>
        </w:rPr>
        <w:t>T</w:t>
      </w:r>
      <w:r>
        <w:rPr>
          <w:rFonts w:ascii="Times New Roman" w:hAnsi="Times New Roman"/>
          <w:color w:val="000000" w:themeColor="text1"/>
        </w:rPr>
        <w:t xml:space="preserve">raining </w:t>
      </w:r>
      <w:r>
        <w:rPr>
          <w:rFonts w:hint="eastAsia" w:ascii="Times New Roman" w:hAnsi="Times New Roman"/>
          <w:color w:val="000000" w:themeColor="text1"/>
        </w:rPr>
        <w:t>P</w:t>
      </w:r>
      <w:r>
        <w:rPr>
          <w:rFonts w:ascii="Times New Roman" w:hAnsi="Times New Roman"/>
          <w:color w:val="000000" w:themeColor="text1"/>
        </w:rPr>
        <w:t>roposal</w:t>
      </w:r>
    </w:p>
    <w:p>
      <w:pPr>
        <w:spacing w:line="360" w:lineRule="auto"/>
        <w:ind w:firstLine="435"/>
        <w:rPr>
          <w:rFonts w:ascii="Times New Roman" w:hAnsi="Times New Roman"/>
          <w:color w:val="000000" w:themeColor="text1"/>
        </w:rPr>
      </w:pPr>
      <w:r>
        <w:rPr>
          <w:rFonts w:ascii="Times New Roman" w:hAnsi="Times New Roman"/>
          <w:color w:val="000000" w:themeColor="text1"/>
        </w:rPr>
        <w:t>研究生入学后一个月内，在导师的指导下根据本学科培养方案和研究生本人的具体情况确定研究方向与制订个人培养计划，经学位点负责人审定后实施。</w:t>
      </w:r>
    </w:p>
    <w:p>
      <w:pPr>
        <w:spacing w:line="360" w:lineRule="auto"/>
        <w:ind w:firstLine="435"/>
        <w:rPr>
          <w:rFonts w:ascii="Times New Roman" w:hAnsi="Times New Roman"/>
          <w:color w:val="000000" w:themeColor="text1"/>
        </w:rPr>
      </w:pPr>
      <w:r>
        <w:rPr>
          <w:rFonts w:ascii="Times New Roman" w:hAnsi="Times New Roman"/>
          <w:color w:val="000000" w:themeColor="text1"/>
        </w:rPr>
        <w:t>The graduate students should decide their research directions and make their individual training proposals under the guidance of their supervisors according to the training program and their specific conditions within one month of enrolling, and the training proposals will be implemented with the approv</w:t>
      </w:r>
      <w:r>
        <w:rPr>
          <w:rFonts w:hint="eastAsia" w:ascii="Times New Roman" w:hAnsi="Times New Roman"/>
          <w:color w:val="000000" w:themeColor="text1"/>
        </w:rPr>
        <w:t>al</w:t>
      </w:r>
      <w:r>
        <w:rPr>
          <w:rFonts w:ascii="Times New Roman" w:hAnsi="Times New Roman"/>
          <w:color w:val="000000" w:themeColor="text1"/>
        </w:rPr>
        <w:t xml:space="preserve"> of the head of the academic degree program. </w:t>
      </w:r>
    </w:p>
    <w:p>
      <w:pPr>
        <w:spacing w:line="360" w:lineRule="auto"/>
        <w:rPr>
          <w:rFonts w:ascii="Times New Roman" w:hAnsi="Times New Roman"/>
          <w:color w:val="000000" w:themeColor="text1"/>
        </w:rPr>
      </w:pPr>
      <w:r>
        <w:rPr>
          <w:rFonts w:ascii="Times New Roman" w:hAnsi="Times New Roman"/>
          <w:color w:val="000000" w:themeColor="text1"/>
        </w:rPr>
        <w:t>（二）开题报告 Ope</w:t>
      </w:r>
      <w:bookmarkStart w:id="10" w:name="OLE_LINK12"/>
      <w:r>
        <w:rPr>
          <w:rFonts w:ascii="Times New Roman" w:hAnsi="Times New Roman"/>
          <w:color w:val="000000" w:themeColor="text1"/>
        </w:rPr>
        <w:t>ning Report</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研究生应系统地查阅国内外有关文献，了解国内外</w:t>
      </w:r>
      <w:r>
        <w:rPr>
          <w:rFonts w:hint="eastAsia" w:ascii="Times New Roman" w:hAnsi="Times New Roman"/>
          <w:color w:val="000000" w:themeColor="text1"/>
        </w:rPr>
        <w:t>学术</w:t>
      </w:r>
      <w:r>
        <w:rPr>
          <w:rFonts w:ascii="Times New Roman" w:hAnsi="Times New Roman"/>
          <w:color w:val="000000" w:themeColor="text1"/>
        </w:rPr>
        <w:t>动态，并对收集的资料做出分析和评述</w:t>
      </w:r>
      <w:bookmarkEnd w:id="10"/>
      <w:r>
        <w:rPr>
          <w:rFonts w:ascii="Times New Roman" w:hAnsi="Times New Roman"/>
          <w:color w:val="000000" w:themeColor="text1"/>
        </w:rPr>
        <w:t>，指出需要解决的问题和方法，</w:t>
      </w:r>
      <w:bookmarkStart w:id="11" w:name="OLE_LINK17"/>
      <w:bookmarkStart w:id="12" w:name="OLE_LINK16"/>
      <w:r>
        <w:rPr>
          <w:rFonts w:ascii="Times New Roman" w:hAnsi="Times New Roman"/>
          <w:color w:val="000000" w:themeColor="text1"/>
        </w:rPr>
        <w:t>在导师指导下提出论文工作计划</w:t>
      </w:r>
      <w:bookmarkEnd w:id="11"/>
      <w:bookmarkEnd w:id="12"/>
      <w:r>
        <w:rPr>
          <w:rFonts w:ascii="Times New Roman" w:hAnsi="Times New Roman"/>
          <w:color w:val="000000" w:themeColor="text1"/>
        </w:rPr>
        <w:t>，并做开题报告。</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 xml:space="preserve">The graduate students should systematic consult domestic and foreign </w:t>
      </w:r>
      <w:r>
        <w:rPr>
          <w:rFonts w:hint="eastAsia" w:ascii="Times New Roman" w:hAnsi="Times New Roman"/>
          <w:color w:val="000000" w:themeColor="text1"/>
        </w:rPr>
        <w:t>thesis,</w:t>
      </w:r>
      <w:r>
        <w:rPr>
          <w:rFonts w:ascii="Times New Roman" w:hAnsi="Times New Roman"/>
          <w:color w:val="000000" w:themeColor="text1"/>
        </w:rPr>
        <w:t xml:space="preserve"> learn the developments of </w:t>
      </w:r>
      <w:r>
        <w:rPr>
          <w:rFonts w:hint="eastAsia" w:ascii="Times New Roman" w:hAnsi="Times New Roman"/>
          <w:color w:val="000000" w:themeColor="text1"/>
        </w:rPr>
        <w:t>academic</w:t>
      </w:r>
      <w:r>
        <w:rPr>
          <w:rFonts w:ascii="Times New Roman" w:hAnsi="Times New Roman"/>
          <w:color w:val="000000" w:themeColor="text1"/>
        </w:rPr>
        <w:t xml:space="preserve"> at home and aboard, analyze and review the collected information, point out the issues and the solutions, make the research proposals under the guidance of their supervisors, and give opening report.</w:t>
      </w:r>
    </w:p>
    <w:p>
      <w:pPr>
        <w:spacing w:line="360" w:lineRule="auto"/>
        <w:rPr>
          <w:rFonts w:ascii="Times New Roman" w:hAnsi="Times New Roman"/>
          <w:color w:val="000000" w:themeColor="text1"/>
        </w:rPr>
      </w:pPr>
      <w:r>
        <w:rPr>
          <w:rFonts w:ascii="Times New Roman" w:hAnsi="Times New Roman"/>
          <w:color w:val="000000" w:themeColor="text1"/>
        </w:rPr>
        <w:t>（三）学位论文 Dissertation</w:t>
      </w:r>
    </w:p>
    <w:p>
      <w:pPr>
        <w:spacing w:line="360" w:lineRule="auto"/>
        <w:ind w:firstLine="420" w:firstLineChars="200"/>
        <w:rPr>
          <w:rFonts w:ascii="Times New Roman" w:hAnsi="Times New Roman"/>
          <w:color w:val="000000" w:themeColor="text1"/>
        </w:rPr>
      </w:pPr>
      <w:bookmarkStart w:id="13" w:name="OLE_LINK18"/>
      <w:r>
        <w:rPr>
          <w:rFonts w:ascii="Times New Roman" w:hAnsi="Times New Roman"/>
          <w:color w:val="000000" w:themeColor="text1"/>
        </w:rPr>
        <w:t>学位论文必须在导师的指导下由研究生本人独立完成</w:t>
      </w:r>
      <w:bookmarkEnd w:id="13"/>
      <w:r>
        <w:rPr>
          <w:rFonts w:ascii="Times New Roman" w:hAnsi="Times New Roman"/>
          <w:color w:val="000000" w:themeColor="text1"/>
        </w:rPr>
        <w:t>。</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The dissertation should be completed independently by graduate students under the guidance of their supervisors.</w:t>
      </w:r>
    </w:p>
    <w:p>
      <w:pPr>
        <w:spacing w:line="360" w:lineRule="auto"/>
        <w:ind w:firstLine="420" w:firstLineChars="200"/>
        <w:rPr>
          <w:rFonts w:ascii="Times New Roman" w:hAnsi="Times New Roman"/>
          <w:color w:val="000000" w:themeColor="text1"/>
        </w:rPr>
      </w:pPr>
      <w:bookmarkStart w:id="14" w:name="OLE_LINK52"/>
      <w:bookmarkStart w:id="15" w:name="OLE_LINK53"/>
      <w:r>
        <w:rPr>
          <w:rFonts w:ascii="Times New Roman" w:hAnsi="Times New Roman"/>
          <w:color w:val="000000" w:themeColor="text1"/>
        </w:rPr>
        <w:t>学位论文格式要求参见</w:t>
      </w:r>
      <w:bookmarkEnd w:id="14"/>
      <w:bookmarkEnd w:id="15"/>
      <w:r>
        <w:rPr>
          <w:rFonts w:ascii="Times New Roman" w:hAnsi="Times New Roman"/>
          <w:color w:val="000000" w:themeColor="text1"/>
        </w:rPr>
        <w:t>《浙江科技学院</w:t>
      </w:r>
      <w:bookmarkStart w:id="16" w:name="OLE_LINK54"/>
      <w:r>
        <w:rPr>
          <w:rFonts w:ascii="Times New Roman" w:hAnsi="Times New Roman"/>
          <w:color w:val="000000" w:themeColor="text1"/>
        </w:rPr>
        <w:t>研究生学位论文格式的统一要求</w:t>
      </w:r>
      <w:bookmarkEnd w:id="16"/>
      <w:r>
        <w:rPr>
          <w:rFonts w:ascii="Times New Roman" w:hAnsi="Times New Roman"/>
          <w:color w:val="000000" w:themeColor="text1"/>
        </w:rPr>
        <w:t>》。</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Dissertation format requirements refer to “Uniform format requirements for graduate dissertations of Zhejiang University of Science and Technology”</w:t>
      </w:r>
      <w:r>
        <w:rPr>
          <w:rFonts w:hint="eastAsia" w:ascii="Times New Roman" w:hAnsi="Times New Roman"/>
          <w:color w:val="000000" w:themeColor="text1"/>
        </w:rPr>
        <w:t>.</w:t>
      </w:r>
    </w:p>
    <w:p>
      <w:pPr>
        <w:spacing w:line="360" w:lineRule="auto"/>
        <w:rPr>
          <w:rFonts w:ascii="Times New Roman" w:hAnsi="Times New Roman"/>
          <w:color w:val="000000" w:themeColor="text1"/>
        </w:rPr>
      </w:pPr>
      <w:r>
        <w:rPr>
          <w:rFonts w:ascii="Times New Roman" w:hAnsi="Times New Roman"/>
          <w:color w:val="000000" w:themeColor="text1"/>
        </w:rPr>
        <w:t xml:space="preserve">（四）论文评阅、答辩 </w:t>
      </w:r>
      <w:r>
        <w:rPr>
          <w:rFonts w:hint="eastAsia" w:ascii="Times New Roman" w:hAnsi="Times New Roman"/>
          <w:color w:val="000000" w:themeColor="text1"/>
        </w:rPr>
        <w:t>R</w:t>
      </w:r>
      <w:r>
        <w:rPr>
          <w:rFonts w:ascii="Times New Roman" w:hAnsi="Times New Roman"/>
          <w:color w:val="000000" w:themeColor="text1"/>
        </w:rPr>
        <w:t xml:space="preserve">eview and </w:t>
      </w:r>
      <w:r>
        <w:rPr>
          <w:rFonts w:hint="eastAsia" w:ascii="Times New Roman" w:hAnsi="Times New Roman"/>
          <w:color w:val="000000" w:themeColor="text1"/>
        </w:rPr>
        <w:t>D</w:t>
      </w:r>
      <w:r>
        <w:rPr>
          <w:rFonts w:ascii="Times New Roman" w:hAnsi="Times New Roman"/>
          <w:color w:val="000000" w:themeColor="text1"/>
        </w:rPr>
        <w:t xml:space="preserve">efense of </w:t>
      </w:r>
      <w:r>
        <w:rPr>
          <w:rFonts w:hint="eastAsia" w:ascii="Times New Roman" w:hAnsi="Times New Roman"/>
          <w:color w:val="000000" w:themeColor="text1"/>
        </w:rPr>
        <w:t>D</w:t>
      </w:r>
      <w:r>
        <w:rPr>
          <w:rFonts w:ascii="Times New Roman" w:hAnsi="Times New Roman"/>
          <w:color w:val="000000" w:themeColor="text1"/>
        </w:rPr>
        <w:t>issertations</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参见《浙江科技学院关于研究生学位论文评阅及答辩工作的规定》。</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Refer to “Requirements of the review and defense for graduate dissertations of Zhejiang University of Science and Technology”</w:t>
      </w:r>
      <w:r>
        <w:rPr>
          <w:rFonts w:hint="eastAsia" w:ascii="Times New Roman" w:hAnsi="Times New Roman"/>
          <w:color w:val="000000" w:themeColor="text1"/>
        </w:rPr>
        <w:t>.</w:t>
      </w:r>
    </w:p>
    <w:p>
      <w:pPr>
        <w:spacing w:line="360" w:lineRule="auto"/>
        <w:rPr>
          <w:rFonts w:ascii="Times New Roman" w:hAnsi="Times New Roman"/>
          <w:color w:val="000000" w:themeColor="text1"/>
        </w:rPr>
      </w:pPr>
      <w:r>
        <w:rPr>
          <w:rFonts w:ascii="Times New Roman" w:hAnsi="Times New Roman"/>
          <w:color w:val="000000" w:themeColor="text1"/>
        </w:rPr>
        <w:t>（五）</w:t>
      </w:r>
      <w:bookmarkStart w:id="17" w:name="OLE_LINK55"/>
      <w:r>
        <w:rPr>
          <w:rFonts w:ascii="Times New Roman" w:hAnsi="Times New Roman"/>
          <w:color w:val="000000" w:themeColor="text1"/>
        </w:rPr>
        <w:t>学位授予</w:t>
      </w:r>
      <w:bookmarkEnd w:id="17"/>
      <w:r>
        <w:rPr>
          <w:rFonts w:ascii="Times New Roman" w:hAnsi="Times New Roman"/>
          <w:color w:val="000000" w:themeColor="text1"/>
        </w:rPr>
        <w:t>Degree-conferring</w:t>
      </w:r>
    </w:p>
    <w:p>
      <w:pPr>
        <w:spacing w:line="360" w:lineRule="auto"/>
        <w:ind w:firstLine="420" w:firstLineChars="200"/>
        <w:rPr>
          <w:rFonts w:ascii="Times New Roman" w:hAnsi="Times New Roman"/>
          <w:color w:val="000000" w:themeColor="text1"/>
        </w:rPr>
      </w:pPr>
      <w:r>
        <w:rPr>
          <w:rFonts w:ascii="Times New Roman" w:hAnsi="Times New Roman"/>
          <w:color w:val="000000" w:themeColor="text1"/>
        </w:rPr>
        <w:t>参见《浙江科技学院</w:t>
      </w:r>
      <w:bookmarkStart w:id="18" w:name="OLE_LINK57"/>
      <w:bookmarkStart w:id="19" w:name="OLE_LINK56"/>
      <w:r>
        <w:rPr>
          <w:rFonts w:ascii="Times New Roman" w:hAnsi="Times New Roman"/>
          <w:color w:val="000000" w:themeColor="text1"/>
        </w:rPr>
        <w:t>硕士学位授予工作细则</w:t>
      </w:r>
      <w:bookmarkEnd w:id="18"/>
      <w:bookmarkEnd w:id="19"/>
      <w:r>
        <w:rPr>
          <w:rFonts w:ascii="Times New Roman" w:hAnsi="Times New Roman"/>
          <w:color w:val="000000" w:themeColor="text1"/>
        </w:rPr>
        <w:t xml:space="preserve">》。 </w:t>
      </w:r>
    </w:p>
    <w:p>
      <w:pPr>
        <w:adjustRightInd w:val="0"/>
        <w:snapToGrid w:val="0"/>
        <w:spacing w:line="360" w:lineRule="auto"/>
        <w:ind w:left="308" w:leftChars="147" w:firstLine="105" w:firstLineChars="50"/>
        <w:rPr>
          <w:rFonts w:ascii="Times New Roman" w:hAnsi="Times New Roman"/>
          <w:color w:val="000000" w:themeColor="text1"/>
        </w:rPr>
      </w:pPr>
      <w:r>
        <w:rPr>
          <w:rFonts w:ascii="Times New Roman" w:hAnsi="Times New Roman"/>
          <w:color w:val="000000" w:themeColor="text1"/>
        </w:rPr>
        <w:t xml:space="preserve">Refer to “Master’s Academic Degree-conferring Detailed Codes of Zhejiang University </w:t>
      </w:r>
    </w:p>
    <w:p>
      <w:pPr>
        <w:adjustRightInd w:val="0"/>
        <w:snapToGrid w:val="0"/>
        <w:spacing w:line="360" w:lineRule="auto"/>
        <w:ind w:left="311" w:leftChars="-23" w:hanging="359" w:hangingChars="171"/>
        <w:rPr>
          <w:rFonts w:ascii="Times New Roman" w:hAnsi="Times New Roman"/>
          <w:color w:val="000000" w:themeColor="text1"/>
          <w:szCs w:val="21"/>
        </w:rPr>
      </w:pPr>
      <w:r>
        <w:rPr>
          <w:rFonts w:ascii="Times New Roman" w:hAnsi="Times New Roman"/>
          <w:color w:val="000000" w:themeColor="text1"/>
        </w:rPr>
        <w:t>of Science and Technology”.</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szCs w:val="21"/>
        </w:rPr>
        <w:t xml:space="preserve"> </w:t>
      </w:r>
    </w:p>
    <w:p>
      <w:pPr>
        <w:spacing w:beforeLines="50" w:line="360" w:lineRule="auto"/>
        <w:ind w:right="30"/>
        <w:jc w:val="center"/>
        <w:rPr>
          <w:rFonts w:ascii="Times New Roman" w:hAnsi="Times New Roman"/>
          <w:b/>
          <w:bCs/>
          <w:color w:val="000000" w:themeColor="text1"/>
          <w:spacing w:val="6"/>
          <w:kern w:val="0"/>
          <w:szCs w:val="21"/>
        </w:rPr>
      </w:pPr>
      <w:r>
        <w:rPr>
          <w:rFonts w:ascii="Times New Roman" w:hAnsi="Times New Roman"/>
          <w:b/>
          <w:color w:val="000000" w:themeColor="text1"/>
          <w:sz w:val="24"/>
          <w:szCs w:val="24"/>
        </w:rPr>
        <w:t>汉语国际教育外国来华留学硕士专业学位研究生课程设置</w:t>
      </w:r>
    </w:p>
    <w:tbl>
      <w:tblPr>
        <w:tblStyle w:val="30"/>
        <w:tblW w:w="7697"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59"/>
        <w:gridCol w:w="540"/>
        <w:gridCol w:w="621"/>
        <w:gridCol w:w="2250"/>
        <w:gridCol w:w="585"/>
        <w:gridCol w:w="615"/>
        <w:gridCol w:w="690"/>
        <w:gridCol w:w="675"/>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atLeast"/>
          <w:jc w:val="center"/>
        </w:trPr>
        <w:tc>
          <w:tcPr>
            <w:tcW w:w="828" w:type="dxa"/>
            <w:gridSpan w:val="2"/>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类别</w:t>
            </w:r>
          </w:p>
        </w:tc>
        <w:tc>
          <w:tcPr>
            <w:tcW w:w="1161" w:type="dxa"/>
            <w:gridSpan w:val="2"/>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课程</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编号</w:t>
            </w:r>
          </w:p>
        </w:tc>
        <w:tc>
          <w:tcPr>
            <w:tcW w:w="2250"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课程名称</w:t>
            </w:r>
          </w:p>
        </w:tc>
        <w:tc>
          <w:tcPr>
            <w:tcW w:w="58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总学 时</w:t>
            </w:r>
          </w:p>
        </w:tc>
        <w:tc>
          <w:tcPr>
            <w:tcW w:w="61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学分</w:t>
            </w:r>
          </w:p>
        </w:tc>
        <w:tc>
          <w:tcPr>
            <w:tcW w:w="690"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开课学期</w:t>
            </w:r>
          </w:p>
        </w:tc>
        <w:tc>
          <w:tcPr>
            <w:tcW w:w="675" w:type="dxa"/>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考核</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方式</w:t>
            </w:r>
          </w:p>
        </w:tc>
        <w:tc>
          <w:tcPr>
            <w:tcW w:w="893" w:type="dxa"/>
          </w:tcPr>
          <w:p>
            <w:pPr>
              <w:adjustRightInd w:val="0"/>
              <w:snapToGrid w:val="0"/>
              <w:jc w:val="center"/>
              <w:rPr>
                <w:rFonts w:ascii="Times New Roman" w:hAnsi="Times New Roman"/>
                <w:color w:val="000000" w:themeColor="text1"/>
                <w:sz w:val="18"/>
                <w:szCs w:val="18"/>
              </w:rPr>
            </w:pPr>
          </w:p>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atLeast"/>
          <w:jc w:val="center"/>
        </w:trPr>
        <w:tc>
          <w:tcPr>
            <w:tcW w:w="828" w:type="dxa"/>
            <w:gridSpan w:val="2"/>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公</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共</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位</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课</w:t>
            </w:r>
          </w:p>
        </w:tc>
        <w:tc>
          <w:tcPr>
            <w:tcW w:w="1161" w:type="dxa"/>
            <w:gridSpan w:val="2"/>
            <w:vAlign w:val="center"/>
          </w:tcPr>
          <w:p>
            <w:pPr>
              <w:adjustRightInd w:val="0"/>
              <w:snapToGrid w:val="0"/>
              <w:rPr>
                <w:rFonts w:ascii="Times New Roman" w:hAnsi="Times New Roman"/>
                <w:color w:val="000000" w:themeColor="text1"/>
                <w:szCs w:val="21"/>
              </w:rPr>
            </w:pPr>
            <w:r>
              <w:rPr>
                <w:rFonts w:ascii="Times New Roman" w:hAnsi="Times New Roman"/>
                <w:color w:val="000000" w:themeColor="text1"/>
                <w:sz w:val="15"/>
                <w:szCs w:val="15"/>
              </w:rPr>
              <w:t>0000152004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当代中国专题</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Contemporary Chinese Studies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restart"/>
            <w:vAlign w:val="center"/>
          </w:tcPr>
          <w:p>
            <w:pPr>
              <w:adjustRightInd w:val="0"/>
              <w:snapToGrid w:val="0"/>
              <w:jc w:val="left"/>
              <w:rPr>
                <w:rFonts w:ascii="Times New Roman" w:hAnsi="Times New Roman"/>
                <w:color w:val="000000" w:themeColor="text1"/>
                <w:sz w:val="18"/>
                <w:szCs w:val="18"/>
              </w:rPr>
            </w:pPr>
            <w:r>
              <w:rPr>
                <w:rFonts w:ascii="Times New Roman" w:hAnsi="Times New Roman"/>
                <w:color w:val="000000" w:themeColor="text1"/>
                <w:sz w:val="18"/>
                <w:szCs w:val="18"/>
              </w:rPr>
              <w:t>必修6学分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828" w:type="dxa"/>
            <w:gridSpan w:val="2"/>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0000152005</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汉语语言学</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Chinese Linguistics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jc w:val="left"/>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828" w:type="dxa"/>
            <w:gridSpan w:val="2"/>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0000152006</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高级汉语</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Advanced Chinese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jc w:val="left"/>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1" w:hRule="atLeast"/>
          <w:jc w:val="center"/>
        </w:trPr>
        <w:tc>
          <w:tcPr>
            <w:tcW w:w="469" w:type="dxa"/>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学科学位课</w:t>
            </w:r>
          </w:p>
        </w:tc>
        <w:tc>
          <w:tcPr>
            <w:tcW w:w="359"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核心课程</w:t>
            </w:r>
          </w:p>
        </w:tc>
        <w:tc>
          <w:tcPr>
            <w:tcW w:w="1161" w:type="dxa"/>
            <w:gridSpan w:val="2"/>
            <w:vAlign w:val="center"/>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1504534001</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汉语作为第二语言教学</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Teaching Chinese as a second language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64</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4</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restart"/>
            <w:vAlign w:val="center"/>
          </w:tcPr>
          <w:p>
            <w:pPr>
              <w:spacing w:line="200" w:lineRule="exact"/>
              <w:rPr>
                <w:rFonts w:ascii="Times New Roman" w:hAnsi="Times New Roman"/>
                <w:color w:val="000000" w:themeColor="text1"/>
                <w:szCs w:val="21"/>
              </w:rPr>
            </w:pPr>
            <w:r>
              <w:rPr>
                <w:rFonts w:ascii="Times New Roman" w:hAnsi="Times New Roman"/>
                <w:color w:val="000000" w:themeColor="text1"/>
                <w:sz w:val="18"/>
                <w:szCs w:val="18"/>
              </w:rPr>
              <w:t>必修12学分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1504532002</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第二语言习得</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Second Language Acquisition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1504532003</w:t>
            </w:r>
          </w:p>
        </w:tc>
        <w:tc>
          <w:tcPr>
            <w:tcW w:w="2250" w:type="dxa"/>
          </w:tcPr>
          <w:p>
            <w:pPr>
              <w:spacing w:line="200" w:lineRule="exact"/>
              <w:jc w:val="center"/>
              <w:rPr>
                <w:rFonts w:ascii="Times New Roman" w:hAnsi="Times New Roman"/>
                <w:color w:val="000000" w:themeColor="text1"/>
                <w:kern w:val="0"/>
                <w:sz w:val="18"/>
                <w:szCs w:val="18"/>
              </w:rPr>
            </w:pP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国外汉语课堂教学案例</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Overseas Chinese Teaching Cases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1504532004</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中华文化与传播</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Chinese Culture and Communication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5"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1504532005</w:t>
            </w:r>
          </w:p>
        </w:tc>
        <w:tc>
          <w:tcPr>
            <w:tcW w:w="2250" w:type="dxa"/>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跨文化交际</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Intercultural Communication</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adjustRightInd w:val="0"/>
              <w:snapToGrid w:val="0"/>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考试</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restart"/>
            <w:vAlign w:val="center"/>
          </w:tcPr>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扩展课程</w:t>
            </w:r>
          </w:p>
        </w:tc>
        <w:tc>
          <w:tcPr>
            <w:tcW w:w="540" w:type="dxa"/>
            <w:vMerge w:val="restart"/>
          </w:tcPr>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汉语知识及其教学类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1504532007</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汉外语言对比与偏误分析</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 Comparison and Contrast between Chinese and Foreign Languages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restart"/>
            <w:vAlign w:val="center"/>
          </w:tcPr>
          <w:p>
            <w:pPr>
              <w:adjustRightInd w:val="0"/>
              <w:snapToGrid w:val="0"/>
              <w:jc w:val="center"/>
              <w:rPr>
                <w:rFonts w:ascii="Times New Roman" w:hAnsi="Times New Roman"/>
                <w:color w:val="000000" w:themeColor="text1"/>
                <w:szCs w:val="21"/>
              </w:rPr>
            </w:pPr>
            <w:r>
              <w:rPr>
                <w:rFonts w:ascii="Times New Roman" w:hAnsi="Times New Roman"/>
                <w:color w:val="000000" w:themeColor="text1"/>
                <w:kern w:val="0"/>
                <w:sz w:val="18"/>
                <w:szCs w:val="18"/>
              </w:rPr>
              <w:t>扩展课程三个类别必须至少各选一门课，且选修学分不少于10学分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jc w:val="center"/>
        </w:trPr>
        <w:tc>
          <w:tcPr>
            <w:tcW w:w="469" w:type="dxa"/>
            <w:vMerge w:val="continue"/>
            <w:vAlign w:val="center"/>
          </w:tcPr>
          <w:p>
            <w:pPr>
              <w:adjustRightInd w:val="0"/>
              <w:snapToGrid w:val="0"/>
              <w:jc w:val="center"/>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1504532008</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汉语教材与教学资源</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Chinese Teaching Materials and Teaching Resources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restart"/>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中华文化传播与跨文化类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1504532018</w:t>
            </w:r>
          </w:p>
        </w:tc>
        <w:tc>
          <w:tcPr>
            <w:tcW w:w="2250" w:type="dxa"/>
            <w:vAlign w:val="center"/>
          </w:tcPr>
          <w:p>
            <w:pPr>
              <w:spacing w:line="200" w:lineRule="exact"/>
              <w:jc w:val="center"/>
              <w:rPr>
                <w:rFonts w:ascii="Times New Roman" w:hAnsi="Times New Roman"/>
                <w:color w:val="000000" w:themeColor="text1"/>
                <w:kern w:val="0"/>
                <w:sz w:val="18"/>
                <w:szCs w:val="18"/>
              </w:rPr>
            </w:pP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中华文化经典         Classical Chinese cultures</w:t>
            </w:r>
          </w:p>
          <w:p>
            <w:pPr>
              <w:spacing w:line="200" w:lineRule="exact"/>
              <w:jc w:val="center"/>
              <w:rPr>
                <w:rFonts w:ascii="Times New Roman" w:hAnsi="Times New Roman"/>
                <w:color w:val="000000" w:themeColor="text1"/>
                <w:kern w:val="0"/>
                <w:sz w:val="18"/>
                <w:szCs w:val="18"/>
              </w:rPr>
            </w:pP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1504531012</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中外文化比较       Comparison between  Chinese and Foreign Cultures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82"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restart"/>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教育与教学管理类</w:t>
            </w: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1504532012</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外语教育心理学</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Foreign Language Education Psychology</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32</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1504531015</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国别汉语教学调查分析Chinese Teaching Investigation and Analysis in Different Countries           </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540" w:type="dxa"/>
            <w:vMerge w:val="continue"/>
          </w:tcPr>
          <w:p>
            <w:pPr>
              <w:adjustRightInd w:val="0"/>
              <w:snapToGrid w:val="0"/>
              <w:rPr>
                <w:rFonts w:ascii="Times New Roman" w:hAnsi="Times New Roman"/>
                <w:color w:val="000000" w:themeColor="text1"/>
                <w:sz w:val="15"/>
                <w:szCs w:val="15"/>
              </w:rPr>
            </w:pPr>
          </w:p>
        </w:tc>
        <w:tc>
          <w:tcPr>
            <w:tcW w:w="621" w:type="dxa"/>
          </w:tcPr>
          <w:p>
            <w:pPr>
              <w:adjustRightInd w:val="0"/>
              <w:snapToGrid w:val="0"/>
              <w:rPr>
                <w:rFonts w:ascii="Times New Roman" w:hAnsi="Times New Roman"/>
                <w:color w:val="000000" w:themeColor="text1"/>
                <w:sz w:val="15"/>
                <w:szCs w:val="15"/>
              </w:rPr>
            </w:pPr>
          </w:p>
          <w:p>
            <w:pPr>
              <w:adjustRightInd w:val="0"/>
              <w:snapToGrid w:val="0"/>
              <w:rPr>
                <w:rFonts w:ascii="Times New Roman" w:hAnsi="Times New Roman"/>
                <w:color w:val="000000" w:themeColor="text1"/>
                <w:sz w:val="15"/>
                <w:szCs w:val="15"/>
              </w:rPr>
            </w:pPr>
            <w:r>
              <w:rPr>
                <w:rFonts w:ascii="Times New Roman" w:hAnsi="Times New Roman"/>
                <w:color w:val="000000" w:themeColor="text1"/>
                <w:sz w:val="15"/>
                <w:szCs w:val="15"/>
              </w:rPr>
              <w:t>1504531014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汉语国际推广专题</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International Promotion of Chinese Language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40"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训练课程</w:t>
            </w: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1504533015</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 xml:space="preserve">课程设计与实践（现代教育技术应用；汉语教学资源及其利用；教学测试与评估设计）Curriculum Design and Practice </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48</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w:t>
            </w:r>
          </w:p>
        </w:tc>
        <w:tc>
          <w:tcPr>
            <w:tcW w:w="690" w:type="dxa"/>
            <w:vAlign w:val="center"/>
          </w:tcPr>
          <w:p>
            <w:pPr>
              <w:jc w:val="center"/>
              <w:rPr>
                <w:rFonts w:ascii="Times New Roman" w:hAnsi="Times New Roman"/>
                <w:color w:val="000000" w:themeColor="text1"/>
                <w:kern w:val="0"/>
                <w:sz w:val="18"/>
                <w:szCs w:val="18"/>
              </w:rPr>
            </w:pPr>
            <w:r>
              <w:rPr>
                <w:rFonts w:hint="eastAsia" w:ascii="Times New Roman" w:hAnsi="Times New Roman"/>
                <w:color w:val="000000" w:themeColor="text1"/>
                <w:kern w:val="0"/>
                <w:sz w:val="18"/>
                <w:szCs w:val="18"/>
              </w:rPr>
              <w:t>1-3</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restart"/>
            <w:vAlign w:val="center"/>
          </w:tcPr>
          <w:p>
            <w:pPr>
              <w:adjustRightInd w:val="0"/>
              <w:snapToGrid w:val="0"/>
              <w:rPr>
                <w:rFonts w:ascii="Times New Roman" w:hAnsi="Times New Roman"/>
                <w:color w:val="000000" w:themeColor="text1"/>
                <w:sz w:val="18"/>
                <w:szCs w:val="18"/>
              </w:rPr>
            </w:pPr>
            <w:r>
              <w:rPr>
                <w:rFonts w:ascii="Times New Roman" w:hAnsi="Times New Roman"/>
                <w:color w:val="000000" w:themeColor="text1"/>
                <w:sz w:val="18"/>
                <w:szCs w:val="18"/>
              </w:rPr>
              <w:t>必选4学分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5" w:hRule="atLeast"/>
          <w:jc w:val="center"/>
        </w:trPr>
        <w:tc>
          <w:tcPr>
            <w:tcW w:w="469" w:type="dxa"/>
            <w:vMerge w:val="continue"/>
            <w:vAlign w:val="center"/>
          </w:tcPr>
          <w:p>
            <w:pPr>
              <w:adjustRightInd w:val="0"/>
              <w:snapToGrid w:val="0"/>
              <w:rPr>
                <w:rFonts w:ascii="Times New Roman" w:hAnsi="Times New Roman"/>
                <w:color w:val="000000" w:themeColor="text1"/>
                <w:sz w:val="18"/>
                <w:szCs w:val="18"/>
              </w:rPr>
            </w:pPr>
          </w:p>
        </w:tc>
        <w:tc>
          <w:tcPr>
            <w:tcW w:w="359" w:type="dxa"/>
            <w:vMerge w:val="continue"/>
            <w:vAlign w:val="center"/>
          </w:tcPr>
          <w:p>
            <w:pPr>
              <w:adjustRightInd w:val="0"/>
              <w:snapToGrid w:val="0"/>
              <w:rPr>
                <w:rFonts w:ascii="Times New Roman" w:hAnsi="Times New Roman"/>
                <w:color w:val="000000" w:themeColor="text1"/>
                <w:sz w:val="18"/>
                <w:szCs w:val="18"/>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1504531016</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中华文化才艺与展示</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Talents and Presentation of Chinese Culture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16</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2</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jc w:val="center"/>
        </w:trPr>
        <w:tc>
          <w:tcPr>
            <w:tcW w:w="828" w:type="dxa"/>
            <w:gridSpan w:val="2"/>
            <w:vMerge w:val="restart"/>
            <w:vAlign w:val="center"/>
          </w:tcPr>
          <w:p>
            <w:pPr>
              <w:adjustRightInd w:val="0"/>
              <w:snapToGrid w:val="0"/>
              <w:jc w:val="center"/>
              <w:rPr>
                <w:rFonts w:ascii="Times New Roman" w:hAnsi="Times New Roman"/>
                <w:color w:val="000000" w:themeColor="text1"/>
                <w:sz w:val="18"/>
                <w:szCs w:val="18"/>
              </w:rPr>
            </w:pP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必</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修</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环</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节</w:t>
            </w: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1504531004</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专题讲座</w:t>
            </w:r>
          </w:p>
          <w:p>
            <w:pPr>
              <w:pStyle w:val="10"/>
              <w:adjustRightInd w:val="0"/>
              <w:snapToGrid w:val="0"/>
              <w:spacing w:line="200" w:lineRule="exact"/>
              <w:ind w:firstLine="405"/>
              <w:jc w:val="center"/>
              <w:rPr>
                <w:color w:val="000000" w:themeColor="text1"/>
                <w:sz w:val="18"/>
                <w:szCs w:val="18"/>
              </w:rPr>
            </w:pPr>
            <w:r>
              <w:rPr>
                <w:color w:val="000000" w:themeColor="text1"/>
                <w:sz w:val="18"/>
                <w:szCs w:val="18"/>
              </w:rPr>
              <w:t>Lectures</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10次</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1-4</w:t>
            </w:r>
          </w:p>
        </w:tc>
        <w:tc>
          <w:tcPr>
            <w:tcW w:w="675" w:type="dxa"/>
            <w:vAlign w:val="center"/>
          </w:tcPr>
          <w:p>
            <w:pPr>
              <w:pStyle w:val="10"/>
              <w:adjustRightInd w:val="0"/>
              <w:snapToGrid w:val="0"/>
              <w:ind w:firstLine="405"/>
              <w:jc w:val="center"/>
              <w:rPr>
                <w:color w:val="000000" w:themeColor="text1"/>
                <w:sz w:val="18"/>
                <w:szCs w:val="18"/>
              </w:rPr>
            </w:pPr>
            <w:r>
              <w:rPr>
                <w:color w:val="000000" w:themeColor="text1"/>
                <w:sz w:val="18"/>
                <w:szCs w:val="18"/>
              </w:rPr>
              <w:t>考查</w:t>
            </w:r>
          </w:p>
        </w:tc>
        <w:tc>
          <w:tcPr>
            <w:tcW w:w="893" w:type="dxa"/>
            <w:vMerge w:val="restart"/>
            <w:vAlign w:val="center"/>
          </w:tcPr>
          <w:p>
            <w:pPr>
              <w:adjustRightInd w:val="0"/>
              <w:snapToGrid w:val="0"/>
              <w:jc w:val="center"/>
              <w:rPr>
                <w:rFonts w:ascii="Times New Roman" w:hAnsi="Times New Roman"/>
                <w:color w:val="000000" w:themeColor="text1"/>
                <w:sz w:val="18"/>
                <w:szCs w:val="18"/>
              </w:rPr>
            </w:pP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必</w:t>
            </w:r>
          </w:p>
          <w:p>
            <w:pPr>
              <w:adjustRightInd w:val="0"/>
              <w:snapToGrid w:val="0"/>
              <w:jc w:val="center"/>
              <w:rPr>
                <w:rFonts w:ascii="Times New Roman" w:hAnsi="Times New Roman"/>
                <w:color w:val="000000" w:themeColor="text1"/>
                <w:sz w:val="18"/>
                <w:szCs w:val="18"/>
              </w:rPr>
            </w:pPr>
            <w:r>
              <w:rPr>
                <w:rFonts w:ascii="Times New Roman" w:hAnsi="Times New Roman"/>
                <w:color w:val="000000" w:themeColor="text1"/>
                <w:sz w:val="18"/>
                <w:szCs w:val="18"/>
              </w:rPr>
              <w:t>修8学分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828" w:type="dxa"/>
            <w:gridSpan w:val="2"/>
            <w:vMerge w:val="continue"/>
            <w:vAlign w:val="center"/>
          </w:tcPr>
          <w:p>
            <w:pPr>
              <w:adjustRightInd w:val="0"/>
              <w:snapToGrid w:val="0"/>
              <w:rPr>
                <w:rFonts w:ascii="Times New Roman" w:hAnsi="Times New Roman"/>
                <w:color w:val="000000" w:themeColor="text1"/>
                <w:szCs w:val="21"/>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1504531005</w:t>
            </w:r>
          </w:p>
        </w:tc>
        <w:tc>
          <w:tcPr>
            <w:tcW w:w="2250" w:type="dxa"/>
            <w:vAlign w:val="center"/>
          </w:tcPr>
          <w:p>
            <w:pPr>
              <w:spacing w:line="200" w:lineRule="exact"/>
              <w:jc w:val="center"/>
              <w:rPr>
                <w:rFonts w:ascii="Times New Roman" w:hAnsi="Times New Roman"/>
                <w:color w:val="000000" w:themeColor="text1"/>
                <w:sz w:val="18"/>
                <w:szCs w:val="18"/>
              </w:rPr>
            </w:pPr>
            <w:r>
              <w:rPr>
                <w:rFonts w:ascii="Times New Roman" w:hAnsi="Times New Roman"/>
                <w:color w:val="000000" w:themeColor="text1"/>
                <w:kern w:val="0"/>
                <w:sz w:val="18"/>
                <w:szCs w:val="18"/>
              </w:rPr>
              <w:t>文化体验（</w:t>
            </w:r>
            <w:r>
              <w:rPr>
                <w:rFonts w:ascii="Times New Roman" w:hAnsi="Times New Roman"/>
                <w:color w:val="000000" w:themeColor="text1"/>
                <w:sz w:val="18"/>
                <w:szCs w:val="18"/>
              </w:rPr>
              <w:t>中国文化或中外文化交流体验活动</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Cultural Experience (Chinese Cultural Activity or Chinese Foreign Cultural Exchange Activity)</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10次</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1-4</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828" w:type="dxa"/>
            <w:gridSpan w:val="2"/>
            <w:vMerge w:val="continue"/>
            <w:vAlign w:val="center"/>
          </w:tcPr>
          <w:p>
            <w:pPr>
              <w:adjustRightInd w:val="0"/>
              <w:snapToGrid w:val="0"/>
              <w:rPr>
                <w:rFonts w:ascii="Times New Roman" w:hAnsi="Times New Roman"/>
                <w:color w:val="000000" w:themeColor="text1"/>
                <w:szCs w:val="21"/>
              </w:rPr>
            </w:pPr>
          </w:p>
        </w:tc>
        <w:tc>
          <w:tcPr>
            <w:tcW w:w="1161" w:type="dxa"/>
            <w:gridSpan w:val="2"/>
            <w:vAlign w:val="center"/>
          </w:tcPr>
          <w:p>
            <w:pPr>
              <w:adjustRightInd w:val="0"/>
              <w:snapToGrid w:val="0"/>
              <w:jc w:val="center"/>
              <w:rPr>
                <w:rFonts w:ascii="Times New Roman" w:hAnsi="Times New Roman"/>
                <w:color w:val="000000" w:themeColor="text1"/>
                <w:sz w:val="15"/>
                <w:szCs w:val="15"/>
              </w:rPr>
            </w:pPr>
            <w:r>
              <w:rPr>
                <w:rFonts w:ascii="Times New Roman" w:hAnsi="Times New Roman"/>
                <w:color w:val="000000" w:themeColor="text1"/>
                <w:sz w:val="15"/>
                <w:szCs w:val="15"/>
              </w:rPr>
              <w:t>1504536003</w:t>
            </w:r>
          </w:p>
        </w:tc>
        <w:tc>
          <w:tcPr>
            <w:tcW w:w="2250" w:type="dxa"/>
            <w:vAlign w:val="center"/>
          </w:tcPr>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教学实习</w:t>
            </w:r>
          </w:p>
          <w:p>
            <w:pPr>
              <w:spacing w:line="200" w:lineRule="exact"/>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Teaching Practice</w:t>
            </w:r>
          </w:p>
        </w:tc>
        <w:tc>
          <w:tcPr>
            <w:tcW w:w="58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不少于半年</w:t>
            </w:r>
          </w:p>
        </w:tc>
        <w:tc>
          <w:tcPr>
            <w:tcW w:w="61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6</w:t>
            </w:r>
          </w:p>
        </w:tc>
        <w:tc>
          <w:tcPr>
            <w:tcW w:w="690"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3-4</w:t>
            </w:r>
          </w:p>
        </w:tc>
        <w:tc>
          <w:tcPr>
            <w:tcW w:w="675" w:type="dxa"/>
            <w:vAlign w:val="center"/>
          </w:tcPr>
          <w:p>
            <w:pPr>
              <w:jc w:val="center"/>
              <w:rPr>
                <w:rFonts w:ascii="Times New Roman" w:hAnsi="Times New Roman"/>
                <w:color w:val="000000" w:themeColor="text1"/>
                <w:kern w:val="0"/>
                <w:sz w:val="18"/>
                <w:szCs w:val="18"/>
              </w:rPr>
            </w:pPr>
            <w:r>
              <w:rPr>
                <w:rFonts w:ascii="Times New Roman" w:hAnsi="Times New Roman"/>
                <w:color w:val="000000" w:themeColor="text1"/>
                <w:kern w:val="0"/>
                <w:sz w:val="18"/>
                <w:szCs w:val="18"/>
              </w:rPr>
              <w:t>考查</w:t>
            </w:r>
          </w:p>
        </w:tc>
        <w:tc>
          <w:tcPr>
            <w:tcW w:w="893" w:type="dxa"/>
            <w:vMerge w:val="continue"/>
            <w:vAlign w:val="center"/>
          </w:tcPr>
          <w:p>
            <w:pPr>
              <w:adjustRightInd w:val="0"/>
              <w:snapToGrid w:val="0"/>
              <w:rPr>
                <w:rFonts w:ascii="Times New Roman" w:hAnsi="Times New Roman"/>
                <w:color w:val="000000" w:themeColor="text1"/>
                <w:szCs w:val="21"/>
              </w:rPr>
            </w:pPr>
          </w:p>
        </w:tc>
      </w:tr>
    </w:tbl>
    <w:p>
      <w:pPr>
        <w:spacing w:line="360" w:lineRule="auto"/>
        <w:ind w:firstLine="420" w:firstLineChars="200"/>
        <w:rPr>
          <w:color w:val="000000" w:themeColor="text1"/>
        </w:rPr>
      </w:pPr>
      <w:r>
        <w:rPr>
          <w:rFonts w:hint="eastAsia"/>
          <w:color w:val="000000" w:themeColor="text1"/>
        </w:rPr>
        <w:t xml:space="preserve">                             </w:t>
      </w:r>
    </w:p>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br w:type="page"/>
      </w:r>
    </w:p>
    <w:p>
      <w:pPr>
        <w:adjustRightInd w:val="0"/>
        <w:snapToGrid w:val="0"/>
        <w:spacing w:line="300" w:lineRule="auto"/>
        <w:ind w:firstLine="1280" w:firstLineChars="4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附录2.</w:t>
      </w:r>
      <w:r>
        <w:rPr>
          <w:rFonts w:ascii="仿宋" w:hAnsi="仿宋" w:eastAsia="仿宋"/>
          <w:b/>
          <w:color w:val="000000" w:themeColor="text1"/>
          <w:sz w:val="32"/>
          <w:szCs w:val="32"/>
        </w:rPr>
        <w:t xml:space="preserve"> </w:t>
      </w: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spacing w:line="360" w:lineRule="exact"/>
        <w:jc w:val="center"/>
        <w:rPr>
          <w:b/>
          <w:bCs/>
          <w:color w:val="000000" w:themeColor="text1"/>
          <w:sz w:val="32"/>
        </w:rPr>
      </w:pPr>
    </w:p>
    <w:p>
      <w:pPr>
        <w:spacing w:line="360" w:lineRule="exact"/>
        <w:jc w:val="center"/>
        <w:rPr>
          <w:b/>
          <w:bCs/>
          <w:color w:val="000000" w:themeColor="text1"/>
          <w:sz w:val="32"/>
        </w:rPr>
      </w:pPr>
      <w:r>
        <w:rPr>
          <w:rFonts w:hint="eastAsia"/>
          <w:b/>
          <w:bCs/>
          <w:color w:val="000000" w:themeColor="text1"/>
          <w:sz w:val="32"/>
        </w:rPr>
        <w:t>中国特色社会主义理论与实践研究课程教学大纲</w:t>
      </w:r>
    </w:p>
    <w:p>
      <w:pPr>
        <w:spacing w:line="360" w:lineRule="exact"/>
        <w:jc w:val="center"/>
        <w:rPr>
          <w:b/>
          <w:bCs/>
          <w:color w:val="000000" w:themeColor="text1"/>
          <w:sz w:val="32"/>
        </w:rPr>
      </w:pPr>
    </w:p>
    <w:p>
      <w:pPr>
        <w:spacing w:line="440" w:lineRule="exact"/>
        <w:jc w:val="center"/>
        <w:rPr>
          <w:color w:val="000000" w:themeColor="text1"/>
          <w:szCs w:val="21"/>
        </w:rPr>
      </w:pPr>
      <w:r>
        <w:rPr>
          <w:rFonts w:hint="eastAsia"/>
          <w:b/>
          <w:bCs/>
          <w:color w:val="000000" w:themeColor="text1"/>
          <w:szCs w:val="21"/>
        </w:rPr>
        <w:t>课程名称：</w:t>
      </w:r>
      <w:r>
        <w:rPr>
          <w:rFonts w:hint="eastAsia"/>
          <w:color w:val="000000" w:themeColor="text1"/>
          <w:szCs w:val="21"/>
        </w:rPr>
        <w:t>中国特色社会主义理论与实践研究/ Study on the theory and practice of socialism with Chinese characteristics</w:t>
      </w:r>
    </w:p>
    <w:p>
      <w:pPr>
        <w:adjustRightInd w:val="0"/>
        <w:snapToGrid w:val="0"/>
        <w:spacing w:line="360" w:lineRule="auto"/>
        <w:rPr>
          <w:color w:val="000000" w:themeColor="text1"/>
          <w:szCs w:val="21"/>
        </w:rPr>
      </w:pPr>
      <w:r>
        <w:rPr>
          <w:rFonts w:hint="eastAsia"/>
          <w:b/>
          <w:bCs/>
          <w:color w:val="000000" w:themeColor="text1"/>
          <w:szCs w:val="21"/>
        </w:rPr>
        <w:t>课程代码：</w:t>
      </w:r>
      <w:r>
        <w:t>0000122001</w:t>
      </w:r>
    </w:p>
    <w:p>
      <w:pPr>
        <w:adjustRightInd w:val="0"/>
        <w:snapToGrid w:val="0"/>
        <w:spacing w:line="360" w:lineRule="auto"/>
        <w:rPr>
          <w:color w:val="000000" w:themeColor="text1"/>
          <w:szCs w:val="21"/>
        </w:rPr>
      </w:pPr>
      <w:r>
        <w:rPr>
          <w:rFonts w:hint="eastAsia"/>
          <w:b/>
          <w:bCs/>
          <w:color w:val="000000" w:themeColor="text1"/>
          <w:szCs w:val="21"/>
        </w:rPr>
        <w:t>课程类型：</w:t>
      </w:r>
      <w:r>
        <w:rPr>
          <w:rFonts w:hint="eastAsia"/>
          <w:color w:val="000000" w:themeColor="text1"/>
          <w:szCs w:val="21"/>
        </w:rPr>
        <w:t>学科学位课 公共课</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rFonts w:hint="eastAsia" w:ascii="宋体" w:hAnsi="宋体"/>
          <w:color w:val="000000" w:themeColor="text1"/>
          <w:sz w:val="21"/>
          <w:szCs w:val="21"/>
        </w:rPr>
        <w:t>36</w:t>
      </w:r>
    </w:p>
    <w:p>
      <w:pPr>
        <w:pStyle w:val="62"/>
        <w:adjustRightInd w:val="0"/>
        <w:snapToGrid w:val="0"/>
        <w:spacing w:line="360" w:lineRule="auto"/>
        <w:ind w:firstLine="0" w:firstLineChars="0"/>
        <w:rPr>
          <w:rFonts w:ascii="宋体" w:hAnsi="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ascii="宋体" w:hAnsi="宋体"/>
          <w:color w:val="000000" w:themeColor="text1"/>
          <w:sz w:val="21"/>
          <w:szCs w:val="21"/>
        </w:rPr>
        <w:t>2</w:t>
      </w:r>
    </w:p>
    <w:p>
      <w:pPr>
        <w:pStyle w:val="62"/>
        <w:tabs>
          <w:tab w:val="left" w:pos="3420"/>
        </w:tabs>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rPr>
        <w:t>与本科生思想政治理论课相衔接</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：马克思主义学院</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spacing w:line="400" w:lineRule="exact"/>
        <w:ind w:firstLine="420" w:firstLineChars="200"/>
        <w:rPr>
          <w:rFonts w:ascii="宋体" w:hAnsi="宋体"/>
        </w:rPr>
      </w:pPr>
      <w:r>
        <w:rPr>
          <w:rFonts w:hint="eastAsia" w:ascii="宋体" w:hAnsi="宋体"/>
        </w:rPr>
        <w:t>中国特色社会主义理论与实践研究是我校各专业硕士研究生公共必修课，是对研究生进行马克思主义理论教育的公共必修课。本课程主要是在当代世界和当代中国背景下，分专题研究和介绍当前中国特色社会主义理论与实践中的重大问题，深化本科阶段思想政治理论课的学习，进一步掌握中国特色社会主义理论体系，坚定中国特色社会主义信念。</w:t>
      </w:r>
    </w:p>
    <w:p>
      <w:pPr>
        <w:spacing w:line="400" w:lineRule="exact"/>
        <w:ind w:firstLine="420" w:firstLineChars="200"/>
        <w:rPr>
          <w:rFonts w:ascii="宋体" w:hAnsi="宋体"/>
        </w:rPr>
      </w:pPr>
      <w:r>
        <w:rPr>
          <w:rFonts w:hint="eastAsia" w:ascii="宋体" w:hAnsi="宋体"/>
        </w:rPr>
        <w:t>本课程的主要任务，一是讲解中国特色社会主义是当代的主题；二是讲解中国的基本国情；三是中国特色社会主义的经济建设、政治建设、文化建设、社会建设与生态文明建设；四是中国共产党的建设；五是讲述当代中国与世界及当代中国的外交政策。</w:t>
      </w:r>
    </w:p>
    <w:p>
      <w:pPr>
        <w:spacing w:line="400" w:lineRule="exact"/>
        <w:ind w:firstLine="420" w:firstLineChars="200"/>
        <w:rPr>
          <w:rFonts w:ascii="宋体" w:hAnsi="宋体"/>
        </w:rPr>
      </w:pPr>
      <w:r>
        <w:rPr>
          <w:rFonts w:hint="eastAsia"/>
        </w:rPr>
        <w:t>通过本课程的教学，使学生能够</w:t>
      </w:r>
      <w:r>
        <w:rPr>
          <w:rFonts w:hint="eastAsia" w:ascii="宋体" w:hAnsi="宋体"/>
        </w:rPr>
        <w:t>深化对中国特色社会主义理论与实践重大问题的认识，掌握中国特色社会主义理论体系的主要内容，提高运用这一理论分析和解决实际问题的能力和本领，提高马克思主义理论素养，坚定中国特色社会主义信念。</w:t>
      </w:r>
    </w:p>
    <w:p>
      <w:pPr>
        <w:pStyle w:val="63"/>
        <w:spacing w:line="360" w:lineRule="auto"/>
        <w:outlineLvl w:val="0"/>
        <w:rPr>
          <w:color w:val="000000" w:themeColor="text1"/>
          <w:szCs w:val="24"/>
        </w:rPr>
      </w:pPr>
      <w:r>
        <w:rPr>
          <w:rFonts w:hint="eastAsia"/>
          <w:color w:val="000000" w:themeColor="text1"/>
          <w:szCs w:val="24"/>
        </w:rPr>
        <w:t>二、教学内容和教学要求</w:t>
      </w:r>
    </w:p>
    <w:p>
      <w:pPr>
        <w:spacing w:line="400" w:lineRule="exact"/>
        <w:ind w:firstLine="420" w:firstLineChars="200"/>
      </w:pPr>
      <w:r>
        <w:rPr>
          <w:rFonts w:hint="eastAsia"/>
        </w:rPr>
        <w:t>本课程的主要教学内容主要有以下几方面：</w:t>
      </w:r>
      <w:r>
        <w:rPr>
          <w:rFonts w:hint="eastAsia" w:hAnsi="宋体"/>
        </w:rPr>
        <w:t>中国特色社会主义理论与实践的基本理论观点；</w:t>
      </w:r>
      <w:r>
        <w:rPr>
          <w:rFonts w:hint="eastAsia"/>
          <w:color w:val="000000"/>
          <w:szCs w:val="21"/>
        </w:rPr>
        <w:t xml:space="preserve"> </w:t>
      </w:r>
      <w:r>
        <w:rPr>
          <w:rFonts w:hint="eastAsia" w:hAnsi="宋体"/>
        </w:rPr>
        <w:t>当代中国的基本国情、中国特色社会主义经济建设、政治建设、文化建设和生态文明建设；中国共产党的建设；当代中国与世界的关系等等。</w:t>
      </w:r>
      <w:r>
        <w:rPr>
          <w:rFonts w:hint="eastAsia"/>
        </w:rPr>
        <w:t>要求学生了解马克思主义中国化的科学涵义、历史进程和基本理论成果；掌握中国特色社会主义理论的科学体系及其基本原理与基本观点；重点在于提高运用基本理论、基本知识来分析和解决具体实践问题的能力；坚定中国特色社会主义的信念。</w:t>
      </w:r>
    </w:p>
    <w:p>
      <w:pPr>
        <w:spacing w:line="400" w:lineRule="exact"/>
        <w:ind w:firstLine="420" w:firstLineChars="200"/>
      </w:pPr>
    </w:p>
    <w:p>
      <w:pPr>
        <w:ind w:firstLine="480" w:firstLineChars="200"/>
        <w:rPr>
          <w:b/>
          <w:color w:val="000000" w:themeColor="text1"/>
          <w:sz w:val="24"/>
          <w:szCs w:val="24"/>
        </w:rPr>
      </w:pPr>
    </w:p>
    <w:p>
      <w:pPr>
        <w:ind w:firstLine="480" w:firstLineChars="200"/>
        <w:rPr>
          <w:b/>
          <w:color w:val="000000" w:themeColor="text1"/>
          <w:sz w:val="24"/>
          <w:szCs w:val="24"/>
        </w:rPr>
      </w:pPr>
    </w:p>
    <w:p>
      <w:pPr>
        <w:ind w:firstLine="480" w:firstLineChars="200"/>
        <w:rPr>
          <w:b/>
          <w:color w:val="000000" w:themeColor="text1"/>
          <w:sz w:val="24"/>
          <w:szCs w:val="24"/>
        </w:rPr>
      </w:pPr>
    </w:p>
    <w:p>
      <w:pPr>
        <w:ind w:firstLine="480" w:firstLineChars="200"/>
        <w:rPr>
          <w:b/>
          <w:color w:val="000000" w:themeColor="text1"/>
          <w:sz w:val="24"/>
          <w:szCs w:val="24"/>
        </w:rPr>
      </w:pPr>
      <w:r>
        <w:rPr>
          <w:rFonts w:hint="eastAsia"/>
          <w:b/>
          <w:color w:val="000000" w:themeColor="text1"/>
          <w:sz w:val="24"/>
          <w:szCs w:val="24"/>
        </w:rPr>
        <w:t>三、学时分配表</w:t>
      </w:r>
    </w:p>
    <w:p>
      <w:pPr>
        <w:ind w:firstLine="480" w:firstLineChars="200"/>
        <w:rPr>
          <w:b/>
          <w:color w:val="000000" w:themeColor="text1"/>
          <w:sz w:val="24"/>
          <w:szCs w:val="24"/>
        </w:rPr>
      </w:pPr>
    </w:p>
    <w:tbl>
      <w:tblPr>
        <w:tblStyle w:val="30"/>
        <w:tblW w:w="8655"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60"/>
        <w:gridCol w:w="3655"/>
        <w:gridCol w:w="965"/>
        <w:gridCol w:w="1125"/>
        <w:gridCol w:w="1125"/>
        <w:gridCol w:w="11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vAlign w:val="center"/>
          </w:tcPr>
          <w:p>
            <w:pPr>
              <w:snapToGrid w:val="0"/>
              <w:rPr>
                <w:rFonts w:ascii="宋体" w:hAnsi="宋体" w:cs="宋体"/>
                <w:szCs w:val="21"/>
              </w:rPr>
            </w:pPr>
            <w:r>
              <w:rPr>
                <w:rFonts w:hint="eastAsia"/>
                <w:color w:val="000000"/>
                <w:szCs w:val="21"/>
              </w:rPr>
              <w:t>序号</w:t>
            </w:r>
          </w:p>
        </w:tc>
        <w:tc>
          <w:tcPr>
            <w:tcW w:w="3655" w:type="dxa"/>
            <w:tcBorders>
              <w:top w:val="outset" w:color="FFFFFF" w:sz="6" w:space="0"/>
              <w:left w:val="outset" w:color="FFFFFF" w:sz="6" w:space="0"/>
              <w:bottom w:val="outset" w:color="FFFFFF" w:sz="6" w:space="0"/>
              <w:right w:val="outset" w:color="FFFFFF" w:sz="6" w:space="0"/>
            </w:tcBorders>
            <w:vAlign w:val="center"/>
          </w:tcPr>
          <w:p>
            <w:pPr>
              <w:snapToGrid w:val="0"/>
              <w:rPr>
                <w:rFonts w:ascii="宋体" w:hAnsi="宋体" w:cs="宋体"/>
                <w:szCs w:val="21"/>
              </w:rPr>
            </w:pPr>
            <w:r>
              <w:rPr>
                <w:rFonts w:hint="eastAsia"/>
                <w:color w:val="000000"/>
                <w:szCs w:val="21"/>
              </w:rPr>
              <w:t>教学内容</w:t>
            </w:r>
          </w:p>
        </w:tc>
        <w:tc>
          <w:tcPr>
            <w:tcW w:w="965" w:type="dxa"/>
            <w:tcBorders>
              <w:top w:val="outset" w:color="FFFFFF" w:sz="6" w:space="0"/>
              <w:left w:val="outset" w:color="FFFFFF" w:sz="6" w:space="0"/>
              <w:bottom w:val="outset" w:color="FFFFFF" w:sz="6" w:space="0"/>
              <w:right w:val="outset" w:color="FFFFFF" w:sz="6" w:space="0"/>
            </w:tcBorders>
            <w:vAlign w:val="center"/>
          </w:tcPr>
          <w:p>
            <w:pPr>
              <w:snapToGrid w:val="0"/>
              <w:rPr>
                <w:szCs w:val="21"/>
              </w:rPr>
            </w:pPr>
            <w:r>
              <w:rPr>
                <w:rFonts w:hint="eastAsia"/>
                <w:color w:val="000000"/>
                <w:szCs w:val="21"/>
              </w:rPr>
              <w:t>课堂讲课</w:t>
            </w:r>
          </w:p>
          <w:p>
            <w:pPr>
              <w:snapToGrid w:val="0"/>
              <w:rPr>
                <w:szCs w:val="21"/>
              </w:rPr>
            </w:pPr>
            <w:r>
              <w:rPr>
                <w:rFonts w:hint="eastAsia"/>
                <w:szCs w:val="21"/>
              </w:rPr>
              <w:t> </w:t>
            </w:r>
          </w:p>
          <w:p>
            <w:pPr>
              <w:snapToGrid w:val="0"/>
              <w:rPr>
                <w:rFonts w:ascii="宋体" w:hAnsi="宋体" w:cs="宋体"/>
                <w:szCs w:val="21"/>
              </w:rPr>
            </w:pPr>
            <w:r>
              <w:rPr>
                <w:rFonts w:hint="eastAsia"/>
                <w:color w:val="000000"/>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ind w:firstLine="420" w:firstLineChars="200"/>
              <w:rPr>
                <w:szCs w:val="21"/>
              </w:rPr>
            </w:pPr>
            <w:r>
              <w:rPr>
                <w:rFonts w:hint="eastAsia"/>
                <w:color w:val="000000"/>
                <w:szCs w:val="21"/>
              </w:rPr>
              <w:t>实践</w:t>
            </w:r>
          </w:p>
          <w:p>
            <w:pPr>
              <w:snapToGrid w:val="0"/>
              <w:rPr>
                <w:szCs w:val="21"/>
              </w:rPr>
            </w:pPr>
            <w:r>
              <w:rPr>
                <w:rFonts w:hint="eastAsia"/>
                <w:szCs w:val="21"/>
              </w:rPr>
              <w:t> </w:t>
            </w:r>
          </w:p>
          <w:p>
            <w:pPr>
              <w:snapToGrid w:val="0"/>
              <w:rPr>
                <w:rFonts w:ascii="宋体" w:hAnsi="宋体" w:cs="宋体"/>
                <w:szCs w:val="21"/>
              </w:rPr>
            </w:pPr>
            <w:r>
              <w:rPr>
                <w:rFonts w:hint="eastAsia"/>
                <w:color w:val="000000"/>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ind w:firstLine="210" w:firstLineChars="100"/>
              <w:rPr>
                <w:szCs w:val="21"/>
              </w:rPr>
            </w:pPr>
            <w:r>
              <w:rPr>
                <w:rFonts w:hint="eastAsia"/>
                <w:color w:val="000000"/>
                <w:szCs w:val="21"/>
              </w:rPr>
              <w:t>课堂讨论</w:t>
            </w:r>
          </w:p>
          <w:p>
            <w:pPr>
              <w:snapToGrid w:val="0"/>
              <w:rPr>
                <w:szCs w:val="21"/>
              </w:rPr>
            </w:pPr>
            <w:r>
              <w:rPr>
                <w:rFonts w:hint="eastAsia"/>
                <w:szCs w:val="21"/>
              </w:rPr>
              <w:t> </w:t>
            </w:r>
          </w:p>
          <w:p>
            <w:pPr>
              <w:snapToGrid w:val="0"/>
              <w:rPr>
                <w:rFonts w:ascii="宋体" w:hAnsi="宋体" w:cs="宋体"/>
                <w:szCs w:val="21"/>
              </w:rPr>
            </w:pPr>
            <w:r>
              <w:rPr>
                <w:rFonts w:hint="eastAsia"/>
                <w:color w:val="000000"/>
                <w:szCs w:val="21"/>
              </w:rPr>
              <w:t>　　学时</w:t>
            </w:r>
          </w:p>
        </w:tc>
        <w:tc>
          <w:tcPr>
            <w:tcW w:w="1125" w:type="dxa"/>
            <w:tcBorders>
              <w:top w:val="outset" w:color="FFFFFF" w:sz="6" w:space="0"/>
              <w:left w:val="outset" w:color="FFFFFF" w:sz="6" w:space="0"/>
              <w:bottom w:val="outset" w:color="FFFFFF" w:sz="6" w:space="0"/>
              <w:right w:val="outset" w:color="FFFFFF" w:sz="6" w:space="0"/>
            </w:tcBorders>
          </w:tcPr>
          <w:p>
            <w:pPr>
              <w:snapToGrid w:val="0"/>
              <w:ind w:firstLine="210" w:firstLineChars="100"/>
              <w:rPr>
                <w:szCs w:val="21"/>
              </w:rPr>
            </w:pPr>
            <w:r>
              <w:rPr>
                <w:rFonts w:hint="eastAsia"/>
                <w:color w:val="000000"/>
                <w:szCs w:val="21"/>
              </w:rPr>
              <w:t>课外自学</w:t>
            </w:r>
          </w:p>
          <w:p>
            <w:pPr>
              <w:snapToGrid w:val="0"/>
              <w:rPr>
                <w:szCs w:val="21"/>
              </w:rPr>
            </w:pPr>
            <w:r>
              <w:rPr>
                <w:rFonts w:hint="eastAsia"/>
                <w:szCs w:val="21"/>
              </w:rPr>
              <w:t> </w:t>
            </w:r>
          </w:p>
          <w:p>
            <w:pPr>
              <w:snapToGrid w:val="0"/>
              <w:rPr>
                <w:rFonts w:ascii="宋体" w:hAnsi="宋体" w:cs="宋体"/>
                <w:szCs w:val="21"/>
              </w:rPr>
            </w:pPr>
            <w:r>
              <w:rPr>
                <w:rFonts w:hint="eastAsia"/>
                <w:color w:val="000000"/>
                <w:szCs w:val="21"/>
              </w:rPr>
              <w:t>　　学时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1</w:t>
            </w:r>
          </w:p>
        </w:tc>
        <w:tc>
          <w:tcPr>
            <w:tcW w:w="3655" w:type="dxa"/>
            <w:tcBorders>
              <w:top w:val="outset" w:color="FFFFFF" w:sz="6" w:space="0"/>
              <w:left w:val="outset" w:color="FFFFFF" w:sz="6" w:space="0"/>
              <w:bottom w:val="outset" w:color="FFFFFF" w:sz="6" w:space="0"/>
              <w:right w:val="outset" w:color="FFFFFF" w:sz="6" w:space="0"/>
            </w:tcBorders>
          </w:tcPr>
          <w:p>
            <w:pPr>
              <w:snapToGrid w:val="0"/>
              <w:ind w:firstLine="210" w:firstLineChars="100"/>
              <w:rPr>
                <w:rFonts w:ascii="宋体" w:hAnsi="宋体" w:cs="宋体"/>
                <w:szCs w:val="21"/>
              </w:rPr>
            </w:pPr>
            <w:r>
              <w:rPr>
                <w:rFonts w:hint="eastAsia" w:hAnsi="宋体"/>
              </w:rPr>
              <w:t>导</w:t>
            </w:r>
            <w:r>
              <w:rPr>
                <w:rFonts w:hAnsi="宋体"/>
              </w:rPr>
              <w:t>论</w:t>
            </w:r>
          </w:p>
        </w:tc>
        <w:tc>
          <w:tcPr>
            <w:tcW w:w="96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color w:val="000000"/>
                <w:szCs w:val="21"/>
              </w:rPr>
              <w:t>2</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2</w:t>
            </w:r>
          </w:p>
        </w:tc>
        <w:tc>
          <w:tcPr>
            <w:tcW w:w="365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 xml:space="preserve">第一章 </w:t>
            </w:r>
            <w:r>
              <w:rPr>
                <w:rFonts w:hint="eastAsia" w:hAnsi="宋体"/>
              </w:rPr>
              <w:t>当代中国的基本国情</w:t>
            </w:r>
          </w:p>
        </w:tc>
        <w:tc>
          <w:tcPr>
            <w:tcW w:w="96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color w:val="000000"/>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3</w:t>
            </w:r>
          </w:p>
        </w:tc>
        <w:tc>
          <w:tcPr>
            <w:tcW w:w="365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第二章</w:t>
            </w:r>
            <w:r>
              <w:rPr>
                <w:rFonts w:hint="eastAsia" w:hAnsi="宋体"/>
              </w:rPr>
              <w:t>中国特色社会主义经济建设</w:t>
            </w:r>
          </w:p>
        </w:tc>
        <w:tc>
          <w:tcPr>
            <w:tcW w:w="96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color w:val="000000"/>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ind w:firstLine="525" w:firstLineChars="250"/>
              <w:rPr>
                <w:rFonts w:ascii="宋体" w:hAnsi="宋体" w:cs="宋体"/>
                <w:szCs w:val="21"/>
              </w:rPr>
            </w:pPr>
            <w:r>
              <w:rPr>
                <w:rFonts w:hint="eastAsia" w:ascii="宋体" w:hAnsi="宋体" w:cs="宋体"/>
                <w:szCs w:val="21"/>
              </w:rPr>
              <w:t>1</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4</w:t>
            </w:r>
          </w:p>
        </w:tc>
        <w:tc>
          <w:tcPr>
            <w:tcW w:w="365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第三章</w:t>
            </w:r>
            <w:r>
              <w:rPr>
                <w:rFonts w:hint="eastAsia" w:hAnsi="宋体"/>
              </w:rPr>
              <w:t>中国特色社会主义政治建设</w:t>
            </w:r>
          </w:p>
        </w:tc>
        <w:tc>
          <w:tcPr>
            <w:tcW w:w="96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color w:val="000000"/>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ascii="宋体" w:hAnsi="宋体" w:cs="宋体"/>
                <w:szCs w:val="21"/>
              </w:rPr>
              <w:t>1</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30" w:hRule="atLeast"/>
          <w:tblCellSpacing w:w="0" w:type="dxa"/>
          <w:jc w:val="center"/>
        </w:trPr>
        <w:tc>
          <w:tcPr>
            <w:tcW w:w="660" w:type="dxa"/>
            <w:tcBorders>
              <w:top w:val="outset" w:color="FFFFFF" w:sz="6" w:space="0"/>
              <w:left w:val="outset" w:color="FFFFFF" w:sz="6" w:space="0"/>
              <w:bottom w:val="outset" w:color="auto" w:sz="6" w:space="0"/>
              <w:right w:val="outset" w:color="FFFFFF" w:sz="6" w:space="0"/>
            </w:tcBorders>
          </w:tcPr>
          <w:p>
            <w:pPr>
              <w:snapToGrid w:val="0"/>
              <w:rPr>
                <w:rFonts w:ascii="宋体" w:hAnsi="宋体" w:cs="宋体"/>
                <w:szCs w:val="21"/>
              </w:rPr>
            </w:pPr>
            <w:r>
              <w:rPr>
                <w:rFonts w:hint="eastAsia"/>
                <w:color w:val="000000"/>
                <w:szCs w:val="21"/>
              </w:rPr>
              <w:t>5</w:t>
            </w:r>
          </w:p>
        </w:tc>
        <w:tc>
          <w:tcPr>
            <w:tcW w:w="3655" w:type="dxa"/>
            <w:tcBorders>
              <w:top w:val="outset" w:color="FFFFFF" w:sz="6" w:space="0"/>
              <w:left w:val="outset" w:color="FFFFFF" w:sz="6" w:space="0"/>
              <w:bottom w:val="outset" w:color="auto" w:sz="6" w:space="0"/>
              <w:right w:val="outset" w:color="FFFFFF" w:sz="6" w:space="0"/>
            </w:tcBorders>
          </w:tcPr>
          <w:p>
            <w:pPr>
              <w:snapToGrid w:val="0"/>
              <w:rPr>
                <w:rFonts w:ascii="宋体" w:hAnsi="宋体" w:cs="宋体"/>
                <w:szCs w:val="21"/>
              </w:rPr>
            </w:pPr>
            <w:r>
              <w:rPr>
                <w:rFonts w:hint="eastAsia"/>
                <w:color w:val="000000"/>
                <w:szCs w:val="21"/>
              </w:rPr>
              <w:t>第四章</w:t>
            </w:r>
            <w:r>
              <w:rPr>
                <w:rFonts w:hint="eastAsia" w:hAnsi="宋体"/>
              </w:rPr>
              <w:t>中国特色社会主义文化建设</w:t>
            </w:r>
          </w:p>
        </w:tc>
        <w:tc>
          <w:tcPr>
            <w:tcW w:w="965" w:type="dxa"/>
            <w:tcBorders>
              <w:top w:val="outset" w:color="FFFFFF" w:sz="6" w:space="0"/>
              <w:left w:val="outset" w:color="FFFFFF" w:sz="6" w:space="0"/>
              <w:bottom w:val="outset" w:color="auto" w:sz="6" w:space="0"/>
              <w:right w:val="outset" w:color="FFFFFF" w:sz="6" w:space="0"/>
            </w:tcBorders>
          </w:tcPr>
          <w:p>
            <w:pPr>
              <w:snapToGrid w:val="0"/>
              <w:jc w:val="center"/>
              <w:rPr>
                <w:rFonts w:ascii="宋体" w:hAnsi="宋体" w:cs="宋体"/>
                <w:szCs w:val="21"/>
              </w:rPr>
            </w:pPr>
            <w:r>
              <w:rPr>
                <w:rFonts w:hint="eastAsia"/>
                <w:color w:val="000000"/>
                <w:szCs w:val="21"/>
              </w:rPr>
              <w:t>3</w:t>
            </w:r>
          </w:p>
        </w:tc>
        <w:tc>
          <w:tcPr>
            <w:tcW w:w="1125" w:type="dxa"/>
            <w:tcBorders>
              <w:top w:val="outset" w:color="FFFFFF" w:sz="6" w:space="0"/>
              <w:left w:val="outset" w:color="FFFFFF" w:sz="6" w:space="0"/>
              <w:bottom w:val="outset" w:color="auto"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auto" w:sz="6" w:space="0"/>
              <w:right w:val="outset" w:color="FFFFFF" w:sz="6" w:space="0"/>
            </w:tcBorders>
          </w:tcPr>
          <w:p>
            <w:pPr>
              <w:snapToGrid w:val="0"/>
              <w:jc w:val="center"/>
              <w:rPr>
                <w:rFonts w:ascii="宋体" w:hAnsi="宋体" w:cs="宋体"/>
                <w:szCs w:val="21"/>
              </w:rPr>
            </w:pPr>
          </w:p>
        </w:tc>
        <w:tc>
          <w:tcPr>
            <w:tcW w:w="1125" w:type="dxa"/>
            <w:tcBorders>
              <w:top w:val="outset" w:color="FFFFFF" w:sz="6" w:space="0"/>
              <w:left w:val="outset" w:color="FFFFFF" w:sz="6" w:space="0"/>
              <w:bottom w:val="outset" w:color="auto" w:sz="6" w:space="0"/>
              <w:right w:val="outset" w:color="FFFFFF" w:sz="6" w:space="0"/>
            </w:tcBorders>
          </w:tcPr>
          <w:p>
            <w:pPr>
              <w:snapToGrid w:val="0"/>
              <w:jc w:val="center"/>
              <w:rPr>
                <w:rFonts w:ascii="宋体" w:hAnsi="宋体" w:cs="宋体"/>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85" w:hRule="atLeast"/>
          <w:tblCellSpacing w:w="0" w:type="dxa"/>
          <w:jc w:val="center"/>
        </w:trPr>
        <w:tc>
          <w:tcPr>
            <w:tcW w:w="660" w:type="dxa"/>
            <w:tcBorders>
              <w:top w:val="outset" w:color="auto" w:sz="6" w:space="0"/>
              <w:left w:val="outset" w:color="FFFFFF" w:sz="6" w:space="0"/>
              <w:bottom w:val="outset" w:color="auto" w:sz="6" w:space="0"/>
              <w:right w:val="outset" w:color="FFFFFF" w:sz="6" w:space="0"/>
            </w:tcBorders>
          </w:tcPr>
          <w:p>
            <w:pPr>
              <w:snapToGrid w:val="0"/>
              <w:rPr>
                <w:rFonts w:ascii="宋体" w:hAnsi="宋体" w:cs="宋体"/>
                <w:szCs w:val="21"/>
              </w:rPr>
            </w:pPr>
            <w:r>
              <w:rPr>
                <w:rFonts w:hint="eastAsia"/>
                <w:color w:val="000000"/>
                <w:szCs w:val="21"/>
              </w:rPr>
              <w:t>6</w:t>
            </w:r>
          </w:p>
        </w:tc>
        <w:tc>
          <w:tcPr>
            <w:tcW w:w="3655" w:type="dxa"/>
            <w:tcBorders>
              <w:top w:val="outset" w:color="auto" w:sz="6" w:space="0"/>
              <w:left w:val="outset" w:color="FFFFFF" w:sz="6" w:space="0"/>
              <w:bottom w:val="outset" w:color="auto" w:sz="6" w:space="0"/>
              <w:right w:val="outset" w:color="FFFFFF" w:sz="6" w:space="0"/>
            </w:tcBorders>
          </w:tcPr>
          <w:p>
            <w:pPr>
              <w:snapToGrid w:val="0"/>
              <w:rPr>
                <w:rFonts w:ascii="宋体" w:hAnsi="宋体" w:cs="宋体"/>
                <w:szCs w:val="21"/>
              </w:rPr>
            </w:pPr>
            <w:r>
              <w:rPr>
                <w:rFonts w:hint="eastAsia"/>
                <w:color w:val="000000"/>
                <w:szCs w:val="21"/>
              </w:rPr>
              <w:t>第五章</w:t>
            </w:r>
            <w:r>
              <w:rPr>
                <w:rFonts w:hint="eastAsia" w:hAnsi="宋体"/>
              </w:rPr>
              <w:t>中国特色社会主义社会建设</w:t>
            </w:r>
          </w:p>
        </w:tc>
        <w:tc>
          <w:tcPr>
            <w:tcW w:w="965" w:type="dxa"/>
            <w:tcBorders>
              <w:top w:val="outset" w:color="auto" w:sz="6" w:space="0"/>
              <w:left w:val="outset" w:color="FFFFFF" w:sz="6" w:space="0"/>
              <w:bottom w:val="outset" w:color="auto" w:sz="6" w:space="0"/>
              <w:right w:val="outset" w:color="FFFFFF" w:sz="6" w:space="0"/>
            </w:tcBorders>
          </w:tcPr>
          <w:p>
            <w:pPr>
              <w:snapToGrid w:val="0"/>
              <w:jc w:val="center"/>
              <w:rPr>
                <w:color w:val="000000"/>
                <w:szCs w:val="21"/>
              </w:rPr>
            </w:pPr>
            <w:r>
              <w:rPr>
                <w:rFonts w:hint="eastAsia"/>
                <w:color w:val="000000"/>
                <w:szCs w:val="21"/>
              </w:rPr>
              <w:t>2</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r>
              <w:rPr>
                <w:rFonts w:hint="eastAsia"/>
                <w:szCs w:val="21"/>
              </w:rPr>
              <w:t>1</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00" w:hRule="atLeast"/>
          <w:tblCellSpacing w:w="0" w:type="dxa"/>
          <w:jc w:val="center"/>
        </w:trPr>
        <w:tc>
          <w:tcPr>
            <w:tcW w:w="660"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color w:val="000000"/>
                <w:szCs w:val="21"/>
              </w:rPr>
              <w:t>7</w:t>
            </w:r>
          </w:p>
        </w:tc>
        <w:tc>
          <w:tcPr>
            <w:tcW w:w="3655"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hAnsi="宋体"/>
              </w:rPr>
              <w:t>第六</w:t>
            </w:r>
            <w:r>
              <w:rPr>
                <w:rFonts w:hint="eastAsia"/>
                <w:color w:val="000000"/>
                <w:szCs w:val="21"/>
              </w:rPr>
              <w:t>章</w:t>
            </w:r>
            <w:r>
              <w:rPr>
                <w:rFonts w:hint="eastAsia" w:hAnsi="宋体"/>
              </w:rPr>
              <w:t>中国特色社会主义生态文明建设</w:t>
            </w:r>
          </w:p>
        </w:tc>
        <w:tc>
          <w:tcPr>
            <w:tcW w:w="965" w:type="dxa"/>
            <w:tcBorders>
              <w:top w:val="outset" w:color="auto" w:sz="6" w:space="0"/>
              <w:left w:val="outset" w:color="FFFFFF" w:sz="6" w:space="0"/>
              <w:bottom w:val="outset" w:color="auto" w:sz="6" w:space="0"/>
              <w:right w:val="outset" w:color="FFFFFF" w:sz="6" w:space="0"/>
            </w:tcBorders>
          </w:tcPr>
          <w:p>
            <w:pPr>
              <w:snapToGrid w:val="0"/>
              <w:jc w:val="center"/>
              <w:rPr>
                <w:color w:val="000000"/>
                <w:szCs w:val="21"/>
              </w:rPr>
            </w:pPr>
            <w:r>
              <w:rPr>
                <w:rFonts w:hint="eastAsia"/>
                <w:color w:val="000000"/>
                <w:szCs w:val="21"/>
              </w:rPr>
              <w:t>2</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r>
              <w:rPr>
                <w:rFonts w:hint="eastAsia"/>
                <w:szCs w:val="21"/>
              </w:rPr>
              <w:t>1</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55" w:hRule="atLeast"/>
          <w:tblCellSpacing w:w="0" w:type="dxa"/>
          <w:jc w:val="center"/>
        </w:trPr>
        <w:tc>
          <w:tcPr>
            <w:tcW w:w="660"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color w:val="000000"/>
                <w:szCs w:val="21"/>
              </w:rPr>
              <w:t>8</w:t>
            </w:r>
          </w:p>
        </w:tc>
        <w:tc>
          <w:tcPr>
            <w:tcW w:w="3655"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hAnsi="宋体"/>
              </w:rPr>
              <w:t>第七</w:t>
            </w:r>
            <w:r>
              <w:rPr>
                <w:rFonts w:hint="eastAsia"/>
                <w:color w:val="000000"/>
                <w:szCs w:val="21"/>
              </w:rPr>
              <w:t>章</w:t>
            </w:r>
            <w:r>
              <w:rPr>
                <w:rFonts w:hint="eastAsia" w:hAnsi="宋体"/>
              </w:rPr>
              <w:t>中国共产党的建设</w:t>
            </w:r>
          </w:p>
        </w:tc>
        <w:tc>
          <w:tcPr>
            <w:tcW w:w="965" w:type="dxa"/>
            <w:tcBorders>
              <w:top w:val="outset" w:color="auto" w:sz="6" w:space="0"/>
              <w:left w:val="outset" w:color="FFFFFF" w:sz="6" w:space="0"/>
              <w:bottom w:val="outset" w:color="auto" w:sz="6" w:space="0"/>
              <w:right w:val="outset" w:color="FFFFFF" w:sz="6" w:space="0"/>
            </w:tcBorders>
          </w:tcPr>
          <w:p>
            <w:pPr>
              <w:snapToGrid w:val="0"/>
              <w:jc w:val="center"/>
              <w:rPr>
                <w:color w:val="000000"/>
                <w:szCs w:val="21"/>
              </w:rPr>
            </w:pPr>
            <w:r>
              <w:rPr>
                <w:rFonts w:hint="eastAsia"/>
                <w:color w:val="000000"/>
                <w:szCs w:val="21"/>
              </w:rPr>
              <w:t>3</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70" w:hRule="atLeast"/>
          <w:tblCellSpacing w:w="0" w:type="dxa"/>
          <w:jc w:val="center"/>
        </w:trPr>
        <w:tc>
          <w:tcPr>
            <w:tcW w:w="660"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color w:val="000000"/>
                <w:szCs w:val="21"/>
              </w:rPr>
              <w:t>9</w:t>
            </w:r>
          </w:p>
        </w:tc>
        <w:tc>
          <w:tcPr>
            <w:tcW w:w="3655" w:type="dxa"/>
            <w:tcBorders>
              <w:top w:val="outset" w:color="auto" w:sz="6" w:space="0"/>
              <w:left w:val="outset" w:color="FFFFFF" w:sz="6" w:space="0"/>
              <w:bottom w:val="outset" w:color="auto" w:sz="6" w:space="0"/>
              <w:right w:val="outset" w:color="FFFFFF" w:sz="6" w:space="0"/>
            </w:tcBorders>
          </w:tcPr>
          <w:p>
            <w:pPr>
              <w:snapToGrid w:val="0"/>
              <w:rPr>
                <w:color w:val="000000"/>
                <w:szCs w:val="21"/>
              </w:rPr>
            </w:pPr>
            <w:r>
              <w:rPr>
                <w:rFonts w:hint="eastAsia" w:hAnsi="宋体"/>
              </w:rPr>
              <w:t>第八</w:t>
            </w:r>
            <w:r>
              <w:rPr>
                <w:rFonts w:hint="eastAsia"/>
                <w:color w:val="000000"/>
                <w:szCs w:val="21"/>
              </w:rPr>
              <w:t>章</w:t>
            </w:r>
            <w:r>
              <w:rPr>
                <w:rFonts w:hint="eastAsia" w:hAnsi="宋体"/>
              </w:rPr>
              <w:t>当代中国与世界</w:t>
            </w:r>
          </w:p>
        </w:tc>
        <w:tc>
          <w:tcPr>
            <w:tcW w:w="965" w:type="dxa"/>
            <w:tcBorders>
              <w:top w:val="outset" w:color="auto" w:sz="6" w:space="0"/>
              <w:left w:val="outset" w:color="FFFFFF" w:sz="6" w:space="0"/>
              <w:bottom w:val="outset" w:color="auto" w:sz="6" w:space="0"/>
              <w:right w:val="outset" w:color="FFFFFF" w:sz="6" w:space="0"/>
            </w:tcBorders>
          </w:tcPr>
          <w:p>
            <w:pPr>
              <w:snapToGrid w:val="0"/>
              <w:jc w:val="center"/>
              <w:rPr>
                <w:color w:val="000000"/>
                <w:szCs w:val="21"/>
              </w:rPr>
            </w:pPr>
            <w:r>
              <w:rPr>
                <w:rFonts w:hint="eastAsia"/>
                <w:color w:val="000000"/>
                <w:szCs w:val="21"/>
              </w:rPr>
              <w:t>3</w:t>
            </w: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auto" w:sz="6" w:space="0"/>
              <w:right w:val="outset" w:color="FFFFFF" w:sz="6" w:space="0"/>
            </w:tcBorders>
          </w:tcPr>
          <w:p>
            <w:pPr>
              <w:snapToGrid w:val="0"/>
              <w:jc w:val="center"/>
              <w:rPr>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92" w:hRule="atLeast"/>
          <w:tblCellSpacing w:w="0" w:type="dxa"/>
          <w:jc w:val="center"/>
        </w:trPr>
        <w:tc>
          <w:tcPr>
            <w:tcW w:w="660" w:type="dxa"/>
            <w:tcBorders>
              <w:top w:val="outset" w:color="auto" w:sz="6" w:space="0"/>
              <w:left w:val="outset" w:color="FFFFFF" w:sz="6" w:space="0"/>
              <w:bottom w:val="outset" w:color="FFFFFF" w:sz="6" w:space="0"/>
              <w:right w:val="outset" w:color="FFFFFF" w:sz="6" w:space="0"/>
            </w:tcBorders>
          </w:tcPr>
          <w:p>
            <w:pPr>
              <w:snapToGrid w:val="0"/>
              <w:rPr>
                <w:color w:val="000000"/>
                <w:szCs w:val="21"/>
              </w:rPr>
            </w:pPr>
            <w:r>
              <w:rPr>
                <w:rFonts w:hint="eastAsia"/>
                <w:color w:val="000000"/>
                <w:szCs w:val="21"/>
              </w:rPr>
              <w:t>10</w:t>
            </w:r>
          </w:p>
        </w:tc>
        <w:tc>
          <w:tcPr>
            <w:tcW w:w="3655" w:type="dxa"/>
            <w:tcBorders>
              <w:top w:val="outset" w:color="auto" w:sz="6" w:space="0"/>
              <w:left w:val="outset" w:color="FFFFFF" w:sz="6" w:space="0"/>
              <w:bottom w:val="outset" w:color="FFFFFF" w:sz="6" w:space="0"/>
              <w:right w:val="outset" w:color="FFFFFF" w:sz="6" w:space="0"/>
            </w:tcBorders>
          </w:tcPr>
          <w:p>
            <w:pPr>
              <w:snapToGrid w:val="0"/>
              <w:rPr>
                <w:rFonts w:hAnsi="宋体"/>
              </w:rPr>
            </w:pPr>
            <w:r>
              <w:rPr>
                <w:rFonts w:hint="eastAsia" w:hAnsi="宋体"/>
              </w:rPr>
              <w:t>中国特色社会主义在浙江的实践</w:t>
            </w:r>
          </w:p>
        </w:tc>
        <w:tc>
          <w:tcPr>
            <w:tcW w:w="965" w:type="dxa"/>
            <w:tcBorders>
              <w:top w:val="outset" w:color="auto" w:sz="6" w:space="0"/>
              <w:left w:val="outset" w:color="FFFFFF" w:sz="6" w:space="0"/>
              <w:bottom w:val="outset" w:color="FFFFFF" w:sz="6" w:space="0"/>
              <w:right w:val="outset" w:color="FFFFFF" w:sz="6" w:space="0"/>
            </w:tcBorders>
          </w:tcPr>
          <w:p>
            <w:pPr>
              <w:snapToGrid w:val="0"/>
              <w:jc w:val="center"/>
              <w:rPr>
                <w:color w:val="000000"/>
                <w:szCs w:val="21"/>
              </w:rPr>
            </w:pPr>
          </w:p>
        </w:tc>
        <w:tc>
          <w:tcPr>
            <w:tcW w:w="1125" w:type="dxa"/>
            <w:tcBorders>
              <w:top w:val="outset" w:color="auto" w:sz="6" w:space="0"/>
              <w:left w:val="outset" w:color="FFFFFF" w:sz="6" w:space="0"/>
              <w:bottom w:val="outset" w:color="FFFFFF" w:sz="6" w:space="0"/>
              <w:right w:val="outset" w:color="FFFFFF" w:sz="6" w:space="0"/>
            </w:tcBorders>
          </w:tcPr>
          <w:p>
            <w:pPr>
              <w:snapToGrid w:val="0"/>
              <w:jc w:val="center"/>
              <w:rPr>
                <w:szCs w:val="21"/>
              </w:rPr>
            </w:pPr>
            <w:r>
              <w:rPr>
                <w:rFonts w:hint="eastAsia"/>
                <w:szCs w:val="21"/>
              </w:rPr>
              <w:t>8</w:t>
            </w:r>
          </w:p>
        </w:tc>
        <w:tc>
          <w:tcPr>
            <w:tcW w:w="1125" w:type="dxa"/>
            <w:tcBorders>
              <w:top w:val="outset" w:color="auto" w:sz="6" w:space="0"/>
              <w:left w:val="outset" w:color="FFFFFF" w:sz="6" w:space="0"/>
              <w:bottom w:val="outset" w:color="FFFFFF" w:sz="6" w:space="0"/>
              <w:right w:val="outset" w:color="FFFFFF" w:sz="6" w:space="0"/>
            </w:tcBorders>
          </w:tcPr>
          <w:p>
            <w:pPr>
              <w:snapToGrid w:val="0"/>
              <w:jc w:val="center"/>
              <w:rPr>
                <w:szCs w:val="21"/>
              </w:rPr>
            </w:pPr>
          </w:p>
        </w:tc>
        <w:tc>
          <w:tcPr>
            <w:tcW w:w="1125" w:type="dxa"/>
            <w:tcBorders>
              <w:top w:val="outset" w:color="auto" w:sz="6" w:space="0"/>
              <w:left w:val="outset" w:color="FFFFFF" w:sz="6" w:space="0"/>
              <w:bottom w:val="outset" w:color="FFFFFF" w:sz="6" w:space="0"/>
              <w:right w:val="outset" w:color="FFFFFF" w:sz="6" w:space="0"/>
            </w:tcBorders>
          </w:tcPr>
          <w:p>
            <w:pPr>
              <w:snapToGrid w:val="0"/>
              <w:jc w:val="center"/>
              <w:rPr>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56" w:hRule="atLeast"/>
          <w:tblCellSpacing w:w="0" w:type="dxa"/>
          <w:jc w:val="center"/>
        </w:trPr>
        <w:tc>
          <w:tcPr>
            <w:tcW w:w="4315" w:type="dxa"/>
            <w:gridSpan w:val="2"/>
            <w:tcBorders>
              <w:top w:val="outset" w:color="FFFFFF" w:sz="6" w:space="0"/>
              <w:left w:val="outset" w:color="FFFFFF" w:sz="6" w:space="0"/>
              <w:bottom w:val="outset" w:color="FFFFFF" w:sz="6" w:space="0"/>
              <w:right w:val="outset" w:color="FFFFFF" w:sz="6" w:space="0"/>
            </w:tcBorders>
          </w:tcPr>
          <w:p>
            <w:pPr>
              <w:snapToGrid w:val="0"/>
              <w:rPr>
                <w:rFonts w:ascii="宋体" w:hAnsi="宋体" w:cs="宋体"/>
                <w:szCs w:val="21"/>
              </w:rPr>
            </w:pPr>
            <w:r>
              <w:rPr>
                <w:rFonts w:hint="eastAsia"/>
                <w:color w:val="000000"/>
                <w:szCs w:val="21"/>
              </w:rPr>
              <w:t>合计</w:t>
            </w:r>
          </w:p>
        </w:tc>
        <w:tc>
          <w:tcPr>
            <w:tcW w:w="96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color w:val="000000"/>
                <w:szCs w:val="21"/>
              </w:rPr>
              <w:t>24</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ascii="宋体" w:hAnsi="宋体" w:cs="宋体"/>
                <w:szCs w:val="21"/>
              </w:rPr>
              <w:t>8</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r>
              <w:rPr>
                <w:rFonts w:hint="eastAsia" w:ascii="宋体" w:hAnsi="宋体" w:cs="宋体"/>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jc w:val="center"/>
              <w:rPr>
                <w:rFonts w:ascii="宋体" w:hAnsi="宋体" w:cs="宋体"/>
                <w:szCs w:val="21"/>
              </w:rPr>
            </w:pPr>
          </w:p>
        </w:tc>
      </w:tr>
    </w:tbl>
    <w:p>
      <w:pPr>
        <w:spacing w:line="360" w:lineRule="auto"/>
        <w:rPr>
          <w:rFonts w:ascii="宋体" w:hAnsi="宋体" w:cs="宋体"/>
          <w:b/>
          <w:bCs/>
          <w:color w:val="333333"/>
          <w:kern w:val="0"/>
          <w:szCs w:val="21"/>
        </w:rPr>
      </w:pPr>
    </w:p>
    <w:p>
      <w:pPr>
        <w:spacing w:line="360" w:lineRule="auto"/>
        <w:ind w:firstLine="420" w:firstLineChars="200"/>
        <w:rPr>
          <w:rFonts w:ascii="宋体" w:hAnsi="宋体" w:cs="宋体"/>
          <w:b/>
          <w:bCs/>
          <w:color w:val="333333"/>
          <w:kern w:val="0"/>
          <w:szCs w:val="21"/>
        </w:rPr>
      </w:pPr>
      <w:r>
        <w:rPr>
          <w:rFonts w:hint="eastAsia" w:ascii="宋体" w:hAnsi="宋体" w:cs="宋体"/>
          <w:b/>
          <w:bCs/>
          <w:color w:val="333333"/>
          <w:kern w:val="0"/>
          <w:szCs w:val="21"/>
        </w:rPr>
        <w:t>四、</w:t>
      </w:r>
      <w:r>
        <w:rPr>
          <w:rFonts w:ascii="宋体" w:hAnsi="宋体" w:cs="宋体"/>
          <w:b/>
          <w:bCs/>
          <w:color w:val="333333"/>
          <w:kern w:val="0"/>
          <w:szCs w:val="21"/>
        </w:rPr>
        <w:t>考核方式：</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 ）；考查（√）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考核采用平时讲课和期末论文相结合的方式进行，平时成绩包括学习态度、课内外作业、课堂内外讨论等占50％，期末考核成绩占50％。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）％；期末考核（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w:t>
      </w:r>
    </w:p>
    <w:p>
      <w:pPr>
        <w:spacing w:line="360" w:lineRule="auto"/>
        <w:ind w:firstLine="420" w:firstLineChars="200"/>
        <w:rPr>
          <w:rFonts w:ascii="宋体" w:hAnsi="宋体"/>
        </w:rPr>
      </w:pPr>
      <w:r>
        <w:rPr>
          <w:rFonts w:hint="eastAsia" w:ascii="宋体" w:hAnsi="宋体"/>
        </w:rPr>
        <w:t>平时成绩主要包括：①平时考勤和表现占总成绩的20%，缺课累计1/3原则上要重修。②课堂讨论占总成绩的10%；③“社会实践”占总成绩的20%，学生须在教师的指导下分组进行社会调查，调查的主题是“中国特色社会主义理论在浙江的实践”；在这个主题下，每组自行拟定选题，设计调查大纲，进行社会实践，撰写调查报告（一组一篇，每篇不少于4000字），并向全班汇报交流，社会实践报告（不超过总数的1/5）电子稿要交任课教师保存。各个教学班社会实践时间由任课教师根据实际情况安排。</w:t>
      </w:r>
    </w:p>
    <w:p>
      <w:pPr>
        <w:spacing w:line="360" w:lineRule="auto"/>
        <w:ind w:firstLine="420" w:firstLineChars="200"/>
        <w:rPr>
          <w:rFonts w:ascii="宋体" w:hAnsi="宋体"/>
        </w:rPr>
      </w:pPr>
      <w:r>
        <w:rPr>
          <w:rFonts w:hint="eastAsia" w:ascii="宋体" w:hAnsi="宋体"/>
        </w:rPr>
        <w:t>期末考核方式主要是写论文，期末考试论文选题不能超出教师所列的范围，字数控制在5000-8000；要遵守学术规范，违规“零分”处理。</w:t>
      </w:r>
    </w:p>
    <w:p>
      <w:pPr>
        <w:widowControl/>
        <w:adjustRightInd w:val="0"/>
        <w:snapToGrid w:val="0"/>
        <w:spacing w:line="330" w:lineRule="atLeast"/>
        <w:ind w:firstLine="420" w:firstLineChars="200"/>
        <w:jc w:val="left"/>
        <w:rPr>
          <w:rFonts w:ascii="宋体" w:hAnsi="宋体" w:cs="宋体"/>
          <w:color w:val="333333"/>
          <w:kern w:val="0"/>
          <w:szCs w:val="21"/>
        </w:rPr>
      </w:pPr>
      <w:r>
        <w:rPr>
          <w:rFonts w:hint="eastAsia" w:ascii="宋体" w:hAnsi="宋体" w:cs="宋体"/>
          <w:b/>
          <w:bCs/>
          <w:color w:val="333333"/>
          <w:kern w:val="0"/>
          <w:szCs w:val="21"/>
        </w:rPr>
        <w:t xml:space="preserve">五、 </w:t>
      </w:r>
      <w:r>
        <w:rPr>
          <w:rFonts w:ascii="宋体" w:hAnsi="宋体" w:cs="宋体"/>
          <w:b/>
          <w:bCs/>
          <w:color w:val="333333"/>
          <w:kern w:val="0"/>
          <w:szCs w:val="21"/>
        </w:rPr>
        <w:t>教材及教学参考资料：</w:t>
      </w:r>
    </w:p>
    <w:p>
      <w:pPr>
        <w:widowControl/>
        <w:adjustRightInd w:val="0"/>
        <w:snapToGrid w:val="0"/>
        <w:spacing w:line="330" w:lineRule="atLeast"/>
        <w:ind w:firstLine="420" w:firstLineChars="200"/>
        <w:jc w:val="left"/>
        <w:rPr>
          <w:rFonts w:ascii="宋体" w:hAnsi="宋体" w:cs="宋体"/>
          <w:color w:val="333333"/>
          <w:kern w:val="0"/>
          <w:szCs w:val="21"/>
        </w:rPr>
      </w:pPr>
      <w:r>
        <w:rPr>
          <w:rFonts w:ascii="宋体" w:hAnsi="宋体" w:cs="宋体"/>
          <w:color w:val="333333"/>
          <w:kern w:val="0"/>
          <w:szCs w:val="21"/>
        </w:rPr>
        <w:t>教材：</w:t>
      </w:r>
    </w:p>
    <w:p>
      <w:pPr>
        <w:widowControl/>
        <w:adjustRightInd w:val="0"/>
        <w:snapToGrid w:val="0"/>
        <w:spacing w:line="330" w:lineRule="atLeast"/>
        <w:ind w:firstLine="420" w:firstLineChars="200"/>
        <w:jc w:val="left"/>
        <w:rPr>
          <w:rFonts w:ascii="宋体" w:hAnsi="宋体" w:cs="宋体"/>
          <w:color w:val="333333"/>
          <w:kern w:val="0"/>
          <w:szCs w:val="21"/>
        </w:rPr>
      </w:pPr>
      <w:r>
        <w:rPr>
          <w:rFonts w:hint="eastAsia" w:ascii="宋体" w:hAnsi="宋体" w:cs="宋体"/>
          <w:color w:val="333333"/>
          <w:kern w:val="0"/>
          <w:szCs w:val="21"/>
        </w:rPr>
        <w:t>《中国特色社会主义理论与实践研究》编写组</w:t>
      </w:r>
      <w:r>
        <w:rPr>
          <w:rFonts w:ascii="宋体" w:hAnsi="宋体" w:cs="宋体"/>
          <w:color w:val="333333"/>
          <w:kern w:val="0"/>
          <w:szCs w:val="21"/>
        </w:rPr>
        <w:t>.</w:t>
      </w:r>
      <w:r>
        <w:rPr>
          <w:rFonts w:hint="eastAsia" w:ascii="宋体" w:hAnsi="宋体" w:cs="宋体"/>
          <w:color w:val="333333"/>
          <w:kern w:val="0"/>
          <w:szCs w:val="21"/>
        </w:rPr>
        <w:t xml:space="preserve"> 中国特色社会主义理论与实践研究</w:t>
      </w:r>
      <w:r>
        <w:rPr>
          <w:rFonts w:ascii="宋体" w:hAnsi="宋体" w:cs="宋体"/>
          <w:color w:val="333333"/>
          <w:kern w:val="0"/>
          <w:szCs w:val="21"/>
        </w:rPr>
        <w:t>.</w:t>
      </w:r>
      <w:r>
        <w:rPr>
          <w:rFonts w:hint="eastAsia" w:ascii="宋体" w:hAnsi="宋体" w:cs="宋体"/>
          <w:color w:val="333333"/>
          <w:kern w:val="0"/>
          <w:szCs w:val="21"/>
        </w:rPr>
        <w:t>高等教育出版社2012</w:t>
      </w:r>
      <w:r>
        <w:rPr>
          <w:rFonts w:ascii="宋体" w:hAnsi="宋体" w:cs="宋体"/>
          <w:color w:val="333333"/>
          <w:kern w:val="0"/>
          <w:szCs w:val="21"/>
        </w:rPr>
        <w:t>年版</w:t>
      </w:r>
    </w:p>
    <w:p>
      <w:pPr>
        <w:widowControl/>
        <w:adjustRightInd w:val="0"/>
        <w:snapToGrid w:val="0"/>
        <w:spacing w:line="330" w:lineRule="atLeast"/>
        <w:ind w:firstLine="420" w:firstLineChars="200"/>
        <w:jc w:val="left"/>
        <w:rPr>
          <w:rFonts w:ascii="宋体" w:hAnsi="宋体" w:cs="宋体"/>
          <w:color w:val="333333"/>
          <w:kern w:val="0"/>
          <w:szCs w:val="21"/>
        </w:rPr>
      </w:pPr>
      <w:r>
        <w:rPr>
          <w:rFonts w:ascii="宋体" w:hAnsi="宋体" w:cs="宋体"/>
          <w:color w:val="333333"/>
          <w:kern w:val="0"/>
          <w:szCs w:val="21"/>
        </w:rPr>
        <w:t>参考资料：</w:t>
      </w:r>
    </w:p>
    <w:p>
      <w:pPr>
        <w:adjustRightInd w:val="0"/>
        <w:snapToGrid w:val="0"/>
        <w:spacing w:line="400" w:lineRule="exact"/>
        <w:ind w:firstLine="420" w:firstLineChars="200"/>
        <w:rPr>
          <w:rFonts w:hAnsi="宋体"/>
        </w:rPr>
      </w:pPr>
      <w:r>
        <w:rPr>
          <w:rFonts w:hint="eastAsia" w:hAnsi="宋体"/>
          <w:lang w:val="en-US" w:eastAsia="zh-CN"/>
        </w:rPr>
        <w:t>1.</w:t>
      </w:r>
      <w:r>
        <w:rPr>
          <w:rFonts w:hint="eastAsia" w:hAnsi="宋体"/>
        </w:rPr>
        <w:t>毛泽东</w:t>
      </w:r>
      <w:r>
        <w:rPr>
          <w:rFonts w:ascii="宋体" w:hAnsi="宋体" w:cs="宋体"/>
          <w:color w:val="333333"/>
          <w:kern w:val="0"/>
          <w:szCs w:val="21"/>
        </w:rPr>
        <w:t>.</w:t>
      </w:r>
      <w:r>
        <w:rPr>
          <w:rFonts w:hint="eastAsia" w:hAnsi="宋体"/>
        </w:rPr>
        <w:t>论人民民主专政</w:t>
      </w:r>
      <w:r>
        <w:rPr>
          <w:rFonts w:ascii="宋体" w:hAnsi="宋体" w:cs="宋体"/>
          <w:color w:val="333333"/>
          <w:kern w:val="0"/>
          <w:szCs w:val="21"/>
        </w:rPr>
        <w:t>.</w:t>
      </w:r>
      <w:r>
        <w:rPr>
          <w:rFonts w:hint="eastAsia" w:ascii="宋体" w:hAnsi="宋体" w:cs="宋体"/>
          <w:color w:val="333333"/>
          <w:kern w:val="0"/>
          <w:szCs w:val="21"/>
        </w:rPr>
        <w:t>《</w:t>
      </w:r>
      <w:r>
        <w:rPr>
          <w:rFonts w:hint="eastAsia" w:hAnsi="宋体"/>
        </w:rPr>
        <w:t>毛泽东选集》第4卷，人民出版社1991年版</w:t>
      </w:r>
    </w:p>
    <w:p>
      <w:pPr>
        <w:adjustRightInd w:val="0"/>
        <w:snapToGrid w:val="0"/>
        <w:spacing w:line="400" w:lineRule="exact"/>
        <w:ind w:firstLine="420" w:firstLineChars="200"/>
        <w:rPr>
          <w:rFonts w:hAnsi="宋体"/>
        </w:rPr>
      </w:pPr>
      <w:r>
        <w:rPr>
          <w:rFonts w:hint="eastAsia" w:hAnsi="宋体"/>
          <w:lang w:val="en-US" w:eastAsia="zh-CN"/>
        </w:rPr>
        <w:t>2.</w:t>
      </w:r>
      <w:r>
        <w:rPr>
          <w:rFonts w:hint="eastAsia" w:hAnsi="宋体"/>
        </w:rPr>
        <w:t>毛泽东</w:t>
      </w:r>
      <w:r>
        <w:rPr>
          <w:rFonts w:ascii="宋体" w:hAnsi="宋体" w:cs="宋体"/>
          <w:color w:val="333333"/>
          <w:kern w:val="0"/>
          <w:szCs w:val="21"/>
        </w:rPr>
        <w:t>.</w:t>
      </w:r>
      <w:r>
        <w:rPr>
          <w:rFonts w:hint="eastAsia" w:hAnsi="宋体"/>
        </w:rPr>
        <w:t>关于正确处理人民内部矛盾的问题</w:t>
      </w:r>
      <w:r>
        <w:rPr>
          <w:rFonts w:ascii="宋体" w:hAnsi="宋体" w:cs="宋体"/>
          <w:color w:val="333333"/>
          <w:kern w:val="0"/>
          <w:szCs w:val="21"/>
        </w:rPr>
        <w:t>.</w:t>
      </w:r>
      <w:r>
        <w:rPr>
          <w:rFonts w:hint="eastAsia" w:hAnsi="宋体"/>
        </w:rPr>
        <w:t>《毛泽东文集》第7卷，人民出版社1999年版</w:t>
      </w:r>
    </w:p>
    <w:p>
      <w:pPr>
        <w:adjustRightInd w:val="0"/>
        <w:snapToGrid w:val="0"/>
        <w:spacing w:line="400" w:lineRule="exact"/>
        <w:ind w:firstLine="420" w:firstLineChars="200"/>
        <w:rPr>
          <w:rFonts w:hAnsi="宋体"/>
        </w:rPr>
      </w:pPr>
      <w:r>
        <w:rPr>
          <w:rFonts w:hint="eastAsia" w:hAnsi="宋体"/>
          <w:lang w:val="en-US" w:eastAsia="zh-CN"/>
        </w:rPr>
        <w:t>3.</w:t>
      </w:r>
      <w:r>
        <w:rPr>
          <w:rFonts w:hint="eastAsia" w:hAnsi="宋体"/>
        </w:rPr>
        <w:t>毛泽东</w:t>
      </w:r>
      <w:r>
        <w:rPr>
          <w:rFonts w:ascii="宋体" w:hAnsi="宋体" w:cs="宋体"/>
          <w:color w:val="333333"/>
          <w:kern w:val="0"/>
          <w:szCs w:val="21"/>
        </w:rPr>
        <w:t>.</w:t>
      </w:r>
      <w:r>
        <w:rPr>
          <w:rFonts w:hint="eastAsia" w:hAnsi="宋体"/>
        </w:rPr>
        <w:t>论十大关系</w:t>
      </w:r>
      <w:r>
        <w:rPr>
          <w:rFonts w:ascii="宋体" w:hAnsi="宋体" w:cs="宋体"/>
          <w:color w:val="333333"/>
          <w:kern w:val="0"/>
          <w:szCs w:val="21"/>
        </w:rPr>
        <w:t>.</w:t>
      </w:r>
      <w:r>
        <w:rPr>
          <w:rFonts w:hint="eastAsia" w:hAnsi="宋体"/>
        </w:rPr>
        <w:t>《毛泽东文集》第7卷，人民出版社1999年版</w:t>
      </w:r>
    </w:p>
    <w:p>
      <w:pPr>
        <w:adjustRightInd w:val="0"/>
        <w:snapToGrid w:val="0"/>
        <w:spacing w:line="400" w:lineRule="exact"/>
        <w:ind w:firstLine="420" w:firstLineChars="200"/>
        <w:rPr>
          <w:rFonts w:hAnsi="宋体"/>
        </w:rPr>
      </w:pPr>
      <w:r>
        <w:rPr>
          <w:rFonts w:hint="eastAsia" w:hAnsi="宋体"/>
          <w:lang w:val="en-US" w:eastAsia="zh-CN"/>
        </w:rPr>
        <w:t>4.</w:t>
      </w:r>
      <w:r>
        <w:rPr>
          <w:rFonts w:hint="eastAsia" w:hAnsi="宋体"/>
        </w:rPr>
        <w:t>中央宣传部理论局</w:t>
      </w:r>
      <w:r>
        <w:rPr>
          <w:rFonts w:ascii="宋体" w:hAnsi="宋体" w:cs="宋体"/>
          <w:color w:val="333333"/>
          <w:kern w:val="0"/>
          <w:szCs w:val="21"/>
        </w:rPr>
        <w:t>.</w:t>
      </w:r>
      <w:r>
        <w:rPr>
          <w:rFonts w:hint="eastAsia" w:hAnsi="宋体"/>
        </w:rPr>
        <w:t>中国特色社会主义理论体系学习读本</w:t>
      </w:r>
      <w:r>
        <w:rPr>
          <w:rFonts w:ascii="宋体" w:hAnsi="宋体" w:cs="宋体"/>
          <w:color w:val="333333"/>
          <w:kern w:val="0"/>
          <w:szCs w:val="21"/>
        </w:rPr>
        <w:t>.</w:t>
      </w:r>
      <w:r>
        <w:rPr>
          <w:rFonts w:hint="eastAsia" w:hAnsi="宋体"/>
        </w:rPr>
        <w:t>学习出版社2009年版</w:t>
      </w:r>
    </w:p>
    <w:p>
      <w:pPr>
        <w:adjustRightInd w:val="0"/>
        <w:snapToGrid w:val="0"/>
        <w:spacing w:line="400" w:lineRule="exact"/>
        <w:ind w:firstLine="420" w:firstLineChars="200"/>
        <w:rPr>
          <w:rFonts w:hAnsi="宋体"/>
        </w:rPr>
      </w:pPr>
      <w:r>
        <w:rPr>
          <w:rFonts w:hint="eastAsia" w:hAnsi="宋体"/>
          <w:lang w:val="en-US" w:eastAsia="zh-CN"/>
        </w:rPr>
        <w:t>5.</w:t>
      </w:r>
      <w:r>
        <w:rPr>
          <w:rFonts w:hint="eastAsia" w:hAnsi="宋体"/>
        </w:rPr>
        <w:t>《中共中央关于深化文化体制改革推动社会主义文化大发展大繁荣若干重大问题的决定》</w:t>
      </w:r>
      <w:r>
        <w:rPr>
          <w:rFonts w:ascii="宋体" w:hAnsi="宋体" w:cs="宋体"/>
          <w:color w:val="333333"/>
          <w:kern w:val="0"/>
          <w:szCs w:val="21"/>
        </w:rPr>
        <w:t>.</w:t>
      </w:r>
      <w:r>
        <w:rPr>
          <w:rFonts w:hint="eastAsia" w:hAnsi="宋体"/>
        </w:rPr>
        <w:t>人民出版社2011年版</w:t>
      </w:r>
    </w:p>
    <w:p>
      <w:pPr>
        <w:adjustRightInd w:val="0"/>
        <w:snapToGrid w:val="0"/>
        <w:spacing w:line="400" w:lineRule="exact"/>
        <w:ind w:firstLine="420" w:firstLineChars="200"/>
        <w:rPr>
          <w:rFonts w:hAnsi="宋体"/>
        </w:rPr>
      </w:pPr>
      <w:r>
        <w:rPr>
          <w:rFonts w:hint="eastAsia" w:hAnsi="宋体"/>
          <w:lang w:val="en-US" w:eastAsia="zh-CN"/>
        </w:rPr>
        <w:t>6.</w:t>
      </w:r>
      <w:r>
        <w:rPr>
          <w:rFonts w:hint="eastAsia" w:hAnsi="宋体"/>
        </w:rPr>
        <w:t>中华人民共和国国务院新闻办公室</w:t>
      </w:r>
      <w:r>
        <w:rPr>
          <w:rFonts w:ascii="宋体" w:hAnsi="宋体" w:cs="宋体"/>
          <w:color w:val="333333"/>
          <w:kern w:val="0"/>
          <w:szCs w:val="21"/>
        </w:rPr>
        <w:t>.</w:t>
      </w:r>
      <w:r>
        <w:rPr>
          <w:rFonts w:hint="eastAsia" w:hAnsi="宋体"/>
        </w:rPr>
        <w:t>《中国的民主政治建设》</w:t>
      </w:r>
      <w:r>
        <w:rPr>
          <w:rFonts w:ascii="宋体" w:hAnsi="宋体" w:cs="宋体"/>
          <w:color w:val="333333"/>
          <w:kern w:val="0"/>
          <w:szCs w:val="21"/>
        </w:rPr>
        <w:t>.</w:t>
      </w:r>
      <w:r>
        <w:rPr>
          <w:rFonts w:hint="eastAsia" w:hAnsi="宋体"/>
        </w:rPr>
        <w:t>人民出版社2005年版</w:t>
      </w:r>
    </w:p>
    <w:p>
      <w:pPr>
        <w:adjustRightInd w:val="0"/>
        <w:snapToGrid w:val="0"/>
        <w:spacing w:line="400" w:lineRule="exact"/>
        <w:ind w:firstLine="420" w:firstLineChars="200"/>
        <w:rPr>
          <w:rFonts w:hAnsi="宋体"/>
        </w:rPr>
      </w:pPr>
      <w:r>
        <w:rPr>
          <w:rFonts w:hint="eastAsia" w:hAnsi="宋体"/>
          <w:lang w:val="en-US" w:eastAsia="zh-CN"/>
        </w:rPr>
        <w:t>7.</w:t>
      </w:r>
      <w:r>
        <w:rPr>
          <w:rFonts w:hint="eastAsia" w:hAnsi="宋体"/>
        </w:rPr>
        <w:t>《中共中央关于构建社会主义和谐社会若干重大问题的决定》</w:t>
      </w:r>
      <w:r>
        <w:rPr>
          <w:rFonts w:ascii="宋体" w:hAnsi="宋体" w:cs="宋体"/>
          <w:color w:val="333333"/>
          <w:kern w:val="0"/>
          <w:szCs w:val="21"/>
        </w:rPr>
        <w:t>.</w:t>
      </w:r>
      <w:r>
        <w:rPr>
          <w:rFonts w:hint="eastAsia" w:hAnsi="宋体"/>
        </w:rPr>
        <w:t>人民出版社2006年版</w:t>
      </w:r>
    </w:p>
    <w:p>
      <w:pPr>
        <w:adjustRightInd w:val="0"/>
        <w:snapToGrid w:val="0"/>
        <w:spacing w:line="400" w:lineRule="exact"/>
        <w:ind w:firstLine="420" w:firstLineChars="200"/>
        <w:rPr>
          <w:rFonts w:hAnsi="宋体"/>
        </w:rPr>
      </w:pPr>
      <w:r>
        <w:rPr>
          <w:rFonts w:hint="eastAsia" w:hAnsi="宋体"/>
          <w:lang w:val="en-US" w:eastAsia="zh-CN"/>
        </w:rPr>
        <w:t>8.</w:t>
      </w:r>
      <w:r>
        <w:rPr>
          <w:rFonts w:hint="eastAsia" w:hAnsi="宋体"/>
        </w:rPr>
        <w:t>胡锦涛</w:t>
      </w:r>
      <w:r>
        <w:rPr>
          <w:rFonts w:ascii="宋体" w:hAnsi="宋体" w:cs="宋体"/>
          <w:color w:val="333333"/>
          <w:kern w:val="0"/>
          <w:szCs w:val="21"/>
        </w:rPr>
        <w:t>.</w:t>
      </w:r>
      <w:r>
        <w:rPr>
          <w:rFonts w:hint="eastAsia" w:hAnsi="宋体"/>
        </w:rPr>
        <w:t>《在庆祝中国共产党成立90周年大会上的讲话》</w:t>
      </w:r>
      <w:r>
        <w:rPr>
          <w:rFonts w:ascii="宋体" w:hAnsi="宋体" w:cs="宋体"/>
          <w:color w:val="333333"/>
          <w:kern w:val="0"/>
          <w:szCs w:val="21"/>
        </w:rPr>
        <w:t>.</w:t>
      </w:r>
      <w:r>
        <w:rPr>
          <w:rFonts w:hint="eastAsia" w:hAnsi="宋体"/>
        </w:rPr>
        <w:t>人民出版社2011年版</w:t>
      </w:r>
    </w:p>
    <w:p>
      <w:pPr>
        <w:adjustRightInd w:val="0"/>
        <w:snapToGrid w:val="0"/>
        <w:spacing w:line="400" w:lineRule="exact"/>
        <w:ind w:firstLine="420" w:firstLineChars="200"/>
        <w:rPr>
          <w:rFonts w:hAnsi="宋体"/>
        </w:rPr>
      </w:pPr>
      <w:r>
        <w:rPr>
          <w:rFonts w:hint="eastAsia" w:hAnsi="宋体"/>
          <w:lang w:val="en-US" w:eastAsia="zh-CN"/>
        </w:rPr>
        <w:t>9.</w:t>
      </w:r>
      <w:r>
        <w:rPr>
          <w:rFonts w:hint="eastAsia" w:hAnsi="宋体"/>
        </w:rPr>
        <w:t>中华人民共和国国务院新闻办公室</w:t>
      </w:r>
      <w:r>
        <w:rPr>
          <w:rFonts w:ascii="宋体" w:hAnsi="宋体" w:cs="宋体"/>
          <w:color w:val="333333"/>
          <w:kern w:val="0"/>
          <w:szCs w:val="21"/>
        </w:rPr>
        <w:t>.</w:t>
      </w:r>
      <w:r>
        <w:rPr>
          <w:rFonts w:hint="eastAsia" w:hAnsi="宋体"/>
        </w:rPr>
        <w:t>《中国的和平发展》</w:t>
      </w:r>
      <w:r>
        <w:rPr>
          <w:rFonts w:ascii="宋体" w:hAnsi="宋体" w:cs="宋体"/>
          <w:color w:val="333333"/>
          <w:kern w:val="0"/>
          <w:szCs w:val="21"/>
        </w:rPr>
        <w:t>.</w:t>
      </w:r>
      <w:r>
        <w:rPr>
          <w:rFonts w:hint="eastAsia" w:hAnsi="宋体"/>
        </w:rPr>
        <w:t>人民出版社2011年版</w:t>
      </w:r>
    </w:p>
    <w:p>
      <w:pPr>
        <w:adjustRightInd w:val="0"/>
        <w:snapToGrid w:val="0"/>
        <w:spacing w:line="400" w:lineRule="exact"/>
        <w:ind w:firstLine="420" w:firstLineChars="200"/>
        <w:rPr>
          <w:rFonts w:hAnsi="宋体"/>
        </w:rPr>
      </w:pPr>
      <w:r>
        <w:rPr>
          <w:rFonts w:hint="eastAsia" w:hAnsi="宋体"/>
          <w:lang w:val="en-US" w:eastAsia="zh-CN"/>
        </w:rPr>
        <w:t>10.</w:t>
      </w:r>
      <w:r>
        <w:rPr>
          <w:rFonts w:hint="eastAsia" w:hAnsi="宋体"/>
        </w:rPr>
        <w:t>中共中央组织部、中共中央宣传部、中共中央编译局</w:t>
      </w:r>
      <w:r>
        <w:rPr>
          <w:rFonts w:ascii="宋体" w:hAnsi="宋体" w:cs="宋体"/>
          <w:color w:val="333333"/>
          <w:kern w:val="0"/>
          <w:szCs w:val="21"/>
        </w:rPr>
        <w:t>.</w:t>
      </w:r>
      <w:r>
        <w:rPr>
          <w:rFonts w:hint="eastAsia" w:hAnsi="宋体"/>
        </w:rPr>
        <w:t>《马列主义经典著作选编学习导读》</w:t>
      </w:r>
      <w:r>
        <w:rPr>
          <w:rFonts w:ascii="宋体" w:hAnsi="宋体" w:cs="宋体"/>
          <w:color w:val="333333"/>
          <w:kern w:val="0"/>
          <w:szCs w:val="21"/>
        </w:rPr>
        <w:t>.</w:t>
      </w:r>
      <w:r>
        <w:rPr>
          <w:rFonts w:hint="eastAsia" w:hAnsi="宋体"/>
        </w:rPr>
        <w:t>学习出版社2011年版</w:t>
      </w:r>
    </w:p>
    <w:p>
      <w:pPr>
        <w:adjustRightInd w:val="0"/>
        <w:snapToGrid w:val="0"/>
        <w:spacing w:line="400" w:lineRule="exact"/>
        <w:ind w:firstLine="420" w:firstLineChars="200"/>
        <w:rPr>
          <w:rFonts w:hAnsi="宋体"/>
        </w:rPr>
      </w:pPr>
      <w:r>
        <w:rPr>
          <w:rFonts w:hint="eastAsia" w:hAnsi="宋体"/>
          <w:lang w:val="en-US" w:eastAsia="zh-CN"/>
        </w:rPr>
        <w:t>11.</w:t>
      </w:r>
      <w:r>
        <w:rPr>
          <w:rFonts w:hint="eastAsia" w:hAnsi="宋体"/>
        </w:rPr>
        <w:t>田克勤</w:t>
      </w:r>
      <w:r>
        <w:rPr>
          <w:rFonts w:ascii="宋体" w:hAnsi="宋体" w:cs="宋体"/>
          <w:color w:val="333333"/>
          <w:kern w:val="0"/>
          <w:szCs w:val="21"/>
        </w:rPr>
        <w:t>.</w:t>
      </w:r>
      <w:r>
        <w:rPr>
          <w:rFonts w:hint="eastAsia" w:hAnsi="宋体"/>
        </w:rPr>
        <w:t>中国特色社会主义理论与实践研究</w:t>
      </w:r>
      <w:r>
        <w:rPr>
          <w:rFonts w:ascii="宋体" w:hAnsi="宋体" w:cs="宋体"/>
          <w:color w:val="333333"/>
          <w:kern w:val="0"/>
          <w:szCs w:val="21"/>
        </w:rPr>
        <w:t>.</w:t>
      </w:r>
      <w:r>
        <w:rPr>
          <w:rFonts w:hint="eastAsia" w:hAnsi="宋体"/>
        </w:rPr>
        <w:t>中国人民大学出版社2012年版</w:t>
      </w:r>
    </w:p>
    <w:p>
      <w:pPr>
        <w:adjustRightInd w:val="0"/>
        <w:snapToGrid w:val="0"/>
        <w:spacing w:line="400" w:lineRule="exact"/>
        <w:ind w:firstLine="420" w:firstLineChars="200"/>
        <w:rPr>
          <w:rFonts w:hAnsi="宋体"/>
        </w:rPr>
      </w:pPr>
      <w:r>
        <w:rPr>
          <w:rFonts w:hint="eastAsia" w:hAnsi="宋体"/>
          <w:lang w:val="en-US" w:eastAsia="zh-CN"/>
        </w:rPr>
        <w:t>12.</w:t>
      </w:r>
      <w:r>
        <w:rPr>
          <w:rFonts w:hint="eastAsia" w:hAnsi="宋体"/>
        </w:rPr>
        <w:t>杨世文，李娟</w:t>
      </w:r>
      <w:r>
        <w:rPr>
          <w:rFonts w:ascii="宋体" w:hAnsi="宋体" w:cs="宋体"/>
          <w:color w:val="333333"/>
          <w:kern w:val="0"/>
          <w:szCs w:val="21"/>
        </w:rPr>
        <w:t>.</w:t>
      </w:r>
      <w:r>
        <w:rPr>
          <w:rFonts w:hint="eastAsia" w:hAnsi="宋体"/>
        </w:rPr>
        <w:t>中国特色社会主义理论与实践研究教学用书</w:t>
      </w:r>
      <w:r>
        <w:rPr>
          <w:rFonts w:ascii="宋体" w:hAnsi="宋体" w:cs="宋体"/>
          <w:color w:val="333333"/>
          <w:kern w:val="0"/>
          <w:szCs w:val="21"/>
        </w:rPr>
        <w:t>.</w:t>
      </w:r>
      <w:r>
        <w:rPr>
          <w:rFonts w:hint="eastAsia" w:hAnsi="宋体"/>
        </w:rPr>
        <w:t>北京师范大学出版社2011年版</w:t>
      </w:r>
    </w:p>
    <w:p>
      <w:pPr>
        <w:adjustRightInd w:val="0"/>
        <w:snapToGrid w:val="0"/>
        <w:spacing w:line="300" w:lineRule="auto"/>
        <w:ind w:firstLine="640" w:firstLineChars="200"/>
        <w:jc w:val="center"/>
        <w:rPr>
          <w:rFonts w:ascii="仿宋" w:hAnsi="仿宋" w:eastAsia="仿宋"/>
          <w:b/>
          <w:color w:val="000000" w:themeColor="text1"/>
          <w:sz w:val="32"/>
          <w:szCs w:val="32"/>
        </w:rPr>
      </w:pPr>
      <w:r>
        <w:rPr>
          <w:rFonts w:hint="eastAsia" w:ascii="仿宋" w:hAnsi="仿宋" w:eastAsia="仿宋"/>
          <w:b/>
          <w:color w:val="000000" w:themeColor="text1"/>
          <w:sz w:val="32"/>
          <w:szCs w:val="32"/>
        </w:rPr>
        <w:br w:type="page"/>
      </w:r>
    </w:p>
    <w:p>
      <w:pPr>
        <w:adjustRightInd w:val="0"/>
        <w:snapToGrid w:val="0"/>
        <w:spacing w:line="300" w:lineRule="auto"/>
        <w:ind w:firstLine="1280" w:firstLineChars="400"/>
        <w:jc w:val="center"/>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spacing w:line="360" w:lineRule="exact"/>
        <w:jc w:val="center"/>
        <w:rPr>
          <w:b/>
          <w:bCs/>
          <w:color w:val="000000" w:themeColor="text1"/>
          <w:sz w:val="32"/>
        </w:rPr>
      </w:pPr>
      <w:r>
        <w:rPr>
          <w:rFonts w:hint="eastAsia"/>
          <w:b/>
          <w:bCs/>
          <w:color w:val="000000" w:themeColor="text1"/>
          <w:sz w:val="32"/>
        </w:rPr>
        <w:t xml:space="preserve">  硕士英语课程教学大纲</w:t>
      </w:r>
    </w:p>
    <w:p>
      <w:pPr>
        <w:spacing w:line="360" w:lineRule="exact"/>
        <w:jc w:val="center"/>
        <w:rPr>
          <w:b/>
          <w:bCs/>
          <w:color w:val="000000" w:themeColor="text1"/>
          <w:sz w:val="32"/>
        </w:rPr>
      </w:pPr>
    </w:p>
    <w:p>
      <w:pPr>
        <w:adjustRightInd w:val="0"/>
        <w:snapToGrid w:val="0"/>
        <w:spacing w:line="360" w:lineRule="auto"/>
        <w:rPr>
          <w:b/>
          <w:bCs/>
          <w:color w:val="000000" w:themeColor="text1"/>
          <w:sz w:val="32"/>
        </w:rPr>
      </w:pPr>
      <w:r>
        <w:rPr>
          <w:rFonts w:hint="eastAsia"/>
          <w:b/>
          <w:bCs/>
          <w:color w:val="000000" w:themeColor="text1"/>
          <w:szCs w:val="21"/>
        </w:rPr>
        <w:t>课程名称：硕士英语</w:t>
      </w:r>
      <w:r>
        <w:rPr>
          <w:rFonts w:hint="eastAsia"/>
          <w:color w:val="000000" w:themeColor="text1"/>
          <w:szCs w:val="21"/>
        </w:rPr>
        <w:t>/</w:t>
      </w:r>
      <w:r>
        <w:rPr>
          <w:color w:val="000000" w:themeColor="text1"/>
          <w:szCs w:val="21"/>
        </w:rPr>
        <w:t xml:space="preserve"> English</w:t>
      </w:r>
      <w:r>
        <w:rPr>
          <w:rFonts w:hint="eastAsia"/>
          <w:color w:val="000000" w:themeColor="text1"/>
          <w:szCs w:val="21"/>
        </w:rPr>
        <w:t xml:space="preserve"> for Graduate Students</w:t>
      </w:r>
    </w:p>
    <w:p>
      <w:pPr>
        <w:adjustRightInd w:val="0"/>
        <w:snapToGrid w:val="0"/>
        <w:spacing w:line="360" w:lineRule="auto"/>
        <w:rPr>
          <w:color w:val="000000" w:themeColor="text1"/>
          <w:szCs w:val="21"/>
        </w:rPr>
      </w:pPr>
      <w:r>
        <w:rPr>
          <w:rFonts w:hint="eastAsia"/>
          <w:b/>
          <w:bCs/>
          <w:color w:val="000000" w:themeColor="text1"/>
          <w:szCs w:val="21"/>
        </w:rPr>
        <w:t>课程代码：</w:t>
      </w:r>
      <w:r>
        <w:rPr>
          <w:color w:val="000000" w:themeColor="text1"/>
        </w:rPr>
        <w:t>0000091001</w:t>
      </w:r>
      <w:r>
        <w:rPr>
          <w:rFonts w:hint="eastAsia"/>
          <w:color w:val="000000" w:themeColor="text1"/>
          <w:szCs w:val="21"/>
        </w:rPr>
        <w:t xml:space="preserve"> </w:t>
      </w:r>
    </w:p>
    <w:p>
      <w:pPr>
        <w:adjustRightInd w:val="0"/>
        <w:snapToGrid w:val="0"/>
        <w:spacing w:line="360" w:lineRule="auto"/>
        <w:rPr>
          <w:color w:val="000000" w:themeColor="text1"/>
          <w:szCs w:val="21"/>
        </w:rPr>
      </w:pPr>
      <w:r>
        <w:rPr>
          <w:rFonts w:hint="eastAsia"/>
          <w:b/>
          <w:bCs/>
          <w:color w:val="000000" w:themeColor="text1"/>
          <w:szCs w:val="21"/>
        </w:rPr>
        <w:t>课程类型：</w:t>
      </w:r>
      <w:r>
        <w:rPr>
          <w:rFonts w:hint="eastAsia"/>
          <w:color w:val="000000" w:themeColor="text1"/>
          <w:szCs w:val="21"/>
        </w:rPr>
        <w:t>学科学位课 公共课</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rFonts w:hint="eastAsia" w:ascii="宋体" w:hAnsi="宋体"/>
          <w:color w:val="000000" w:themeColor="text1"/>
          <w:sz w:val="21"/>
          <w:szCs w:val="21"/>
        </w:rPr>
        <w:t>48</w:t>
      </w:r>
    </w:p>
    <w:p>
      <w:pPr>
        <w:pStyle w:val="62"/>
        <w:adjustRightInd w:val="0"/>
        <w:snapToGrid w:val="0"/>
        <w:spacing w:line="360" w:lineRule="auto"/>
        <w:ind w:firstLine="0" w:firstLineChars="0"/>
        <w:rPr>
          <w:rFonts w:ascii="宋体" w:hAnsi="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ascii="宋体" w:hAnsi="宋体"/>
          <w:color w:val="000000" w:themeColor="text1"/>
          <w:sz w:val="21"/>
          <w:szCs w:val="21"/>
        </w:rPr>
        <w:t>3</w:t>
      </w:r>
    </w:p>
    <w:p>
      <w:pPr>
        <w:pStyle w:val="62"/>
        <w:tabs>
          <w:tab w:val="left" w:pos="3420"/>
        </w:tabs>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color w:val="000000" w:themeColor="text1"/>
          <w:sz w:val="21"/>
          <w:szCs w:val="21"/>
        </w:rPr>
        <w:t>大学英语</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：外语/中德学院</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ind w:firstLine="420" w:firstLineChars="200"/>
        <w:rPr>
          <w:rFonts w:ascii="宋体" w:hAnsi="宋体"/>
          <w:color w:val="000000" w:themeColor="text1"/>
        </w:rPr>
      </w:pPr>
      <w:r>
        <w:rPr>
          <w:rFonts w:hint="eastAsia" w:ascii="宋体" w:hAnsi="宋体"/>
          <w:color w:val="000000" w:themeColor="text1"/>
        </w:rPr>
        <w:t>《硕士英语》课程是为浙江科技学院汉语国际教育专业学生获得硕士学位而开设的必修学位课程。</w:t>
      </w:r>
    </w:p>
    <w:p>
      <w:pPr>
        <w:ind w:firstLine="420" w:firstLineChars="200"/>
        <w:rPr>
          <w:rFonts w:ascii="宋体" w:hAnsi="宋体"/>
          <w:color w:val="000000" w:themeColor="text1"/>
        </w:rPr>
      </w:pPr>
      <w:r>
        <w:rPr>
          <w:rFonts w:hint="eastAsia" w:ascii="宋体" w:hAnsi="宋体"/>
          <w:color w:val="000000" w:themeColor="text1"/>
        </w:rPr>
        <w:t>汉语国际教育专业学生英语基础比较扎实，多数通过了大学英语六级考试。本课程旨在巩固语言基本知识的基础上，根据硕士研究生的培养目标和职业发展需求，采取小组活动和任务型学习法，通过紧扣课文主题，布置各种各样丰富多彩的课堂活动，如辩论、短剧、微电影、PPT以及翻译和词汇竞赛等，提高学生的英语综合运用能力，特别是听力和口语等能力的培养。同时，加强学术英语的阅读和写作能力训练，使学生初步了解学术英语论文的布局和特征、专业文献的检索和摘要写作的规范，为专业课程的学习和学术论文的写作做好铺垫。</w:t>
      </w:r>
    </w:p>
    <w:p>
      <w:pPr>
        <w:pStyle w:val="63"/>
        <w:spacing w:line="360" w:lineRule="auto"/>
        <w:outlineLvl w:val="0"/>
        <w:rPr>
          <w:color w:val="000000" w:themeColor="text1"/>
          <w:szCs w:val="24"/>
        </w:rPr>
      </w:pPr>
      <w:r>
        <w:rPr>
          <w:rFonts w:hint="eastAsia"/>
          <w:color w:val="000000" w:themeColor="text1"/>
          <w:szCs w:val="24"/>
        </w:rPr>
        <w:t>二、教学内容和教学要求</w:t>
      </w:r>
    </w:p>
    <w:p>
      <w:pPr>
        <w:spacing w:line="360" w:lineRule="exact"/>
        <w:ind w:firstLine="435"/>
        <w:rPr>
          <w:color w:val="000000" w:themeColor="text1"/>
          <w:szCs w:val="21"/>
        </w:rPr>
      </w:pPr>
      <w:r>
        <w:rPr>
          <w:rFonts w:hint="eastAsia"/>
          <w:color w:val="000000" w:themeColor="text1"/>
          <w:szCs w:val="21"/>
        </w:rPr>
        <w:t>本课程要求学生有《大学英语》的学习经历，整个学期主要通过小组活动来完成与课文主题相关的各项任务，包括辩论、短句、微电影、PPT等，同时在课文讲解过程中完成老师布置的各项任务，如词汇、翻译和口语练习等，最后还进行输出性写作训练，后续《硕士英语口语》。学生在学完本课程后，听说读写译能力都将得到一定的训练和培养，同时能正确理解所读专业文献的基本内容及作者的观点，能较好地掌握研究生阶段常见的写作文体，了解学术英语的语言特点、写作技巧和组织结构安排，能独立进行基本的专业英语写作，如论文和报告等。</w:t>
      </w:r>
    </w:p>
    <w:p>
      <w:pPr>
        <w:ind w:firstLine="420" w:firstLineChars="200"/>
        <w:rPr>
          <w:rFonts w:ascii="宋体" w:hAnsi="宋体"/>
          <w:color w:val="000000" w:themeColor="text1"/>
        </w:rPr>
      </w:pPr>
    </w:p>
    <w:p>
      <w:pPr>
        <w:ind w:firstLine="480" w:firstLineChars="200"/>
        <w:rPr>
          <w:b/>
          <w:color w:val="000000" w:themeColor="text1"/>
          <w:sz w:val="24"/>
          <w:szCs w:val="24"/>
        </w:rPr>
      </w:pPr>
      <w:r>
        <w:rPr>
          <w:rFonts w:hint="eastAsia"/>
          <w:b/>
          <w:color w:val="000000" w:themeColor="text1"/>
          <w:sz w:val="24"/>
          <w:szCs w:val="24"/>
        </w:rPr>
        <w:t>三、学时分配表</w:t>
      </w:r>
    </w:p>
    <w:tbl>
      <w:tblPr>
        <w:tblStyle w:val="30"/>
        <w:tblW w:w="8655"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60"/>
        <w:gridCol w:w="3495"/>
        <w:gridCol w:w="1125"/>
        <w:gridCol w:w="1125"/>
        <w:gridCol w:w="1125"/>
        <w:gridCol w:w="11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vAlign w:val="center"/>
          </w:tcPr>
          <w:p>
            <w:pPr>
              <w:snapToGrid w:val="0"/>
              <w:spacing w:line="360" w:lineRule="exact"/>
              <w:rPr>
                <w:rFonts w:ascii="宋体" w:hAnsi="宋体" w:cs="宋体"/>
                <w:color w:val="000000" w:themeColor="text1"/>
                <w:szCs w:val="21"/>
              </w:rPr>
            </w:pPr>
            <w:r>
              <w:rPr>
                <w:rFonts w:hint="eastAsia"/>
                <w:color w:val="000000" w:themeColor="text1"/>
                <w:szCs w:val="21"/>
              </w:rPr>
              <w:t>序号</w:t>
            </w:r>
          </w:p>
        </w:tc>
        <w:tc>
          <w:tcPr>
            <w:tcW w:w="3495" w:type="dxa"/>
            <w:tcBorders>
              <w:top w:val="outset" w:color="FFFFFF" w:sz="6" w:space="0"/>
              <w:left w:val="outset" w:color="FFFFFF" w:sz="6" w:space="0"/>
              <w:bottom w:val="outset" w:color="FFFFFF" w:sz="6" w:space="0"/>
              <w:right w:val="outset" w:color="FFFFFF" w:sz="6" w:space="0"/>
            </w:tcBorders>
            <w:vAlign w:val="center"/>
          </w:tcPr>
          <w:p>
            <w:pPr>
              <w:snapToGrid w:val="0"/>
              <w:spacing w:line="360" w:lineRule="exact"/>
              <w:rPr>
                <w:rFonts w:ascii="宋体" w:hAnsi="宋体" w:cs="宋体"/>
                <w:color w:val="000000" w:themeColor="text1"/>
                <w:szCs w:val="21"/>
              </w:rPr>
            </w:pPr>
            <w:r>
              <w:rPr>
                <w:rFonts w:hint="eastAsia"/>
                <w:color w:val="000000" w:themeColor="text1"/>
                <w:szCs w:val="21"/>
              </w:rPr>
              <w:t>教学内容</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spacing w:line="360" w:lineRule="exact"/>
              <w:rPr>
                <w:color w:val="000000" w:themeColor="text1"/>
                <w:szCs w:val="21"/>
              </w:rPr>
            </w:pPr>
            <w:r>
              <w:rPr>
                <w:rFonts w:hint="eastAsia"/>
                <w:color w:val="000000" w:themeColor="text1"/>
                <w:szCs w:val="21"/>
              </w:rPr>
              <w:t>课堂讲课</w:t>
            </w:r>
          </w:p>
          <w:p>
            <w:pPr>
              <w:snapToGrid w:val="0"/>
              <w:spacing w:line="360" w:lineRule="exact"/>
              <w:rPr>
                <w:color w:val="000000" w:themeColor="text1"/>
                <w:szCs w:val="21"/>
              </w:rPr>
            </w:pPr>
            <w:r>
              <w:rPr>
                <w:rFonts w:hint="eastAsia"/>
                <w:color w:val="000000" w:themeColor="text1"/>
                <w:szCs w:val="21"/>
              </w:rPr>
              <w:t> </w:t>
            </w:r>
          </w:p>
          <w:p>
            <w:pPr>
              <w:snapToGrid w:val="0"/>
              <w:spacing w:line="360" w:lineRule="exact"/>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spacing w:line="360" w:lineRule="exact"/>
              <w:rPr>
                <w:color w:val="000000" w:themeColor="text1"/>
                <w:szCs w:val="21"/>
              </w:rPr>
            </w:pPr>
            <w:r>
              <w:rPr>
                <w:rFonts w:hint="eastAsia"/>
                <w:color w:val="000000" w:themeColor="text1"/>
                <w:szCs w:val="21"/>
              </w:rPr>
              <w:t>实践</w:t>
            </w:r>
          </w:p>
          <w:p>
            <w:pPr>
              <w:snapToGrid w:val="0"/>
              <w:spacing w:line="360" w:lineRule="exact"/>
              <w:rPr>
                <w:color w:val="000000" w:themeColor="text1"/>
                <w:szCs w:val="21"/>
              </w:rPr>
            </w:pPr>
            <w:r>
              <w:rPr>
                <w:rFonts w:hint="eastAsia"/>
                <w:color w:val="000000" w:themeColor="text1"/>
                <w:szCs w:val="21"/>
              </w:rPr>
              <w:t> </w:t>
            </w:r>
          </w:p>
          <w:p>
            <w:pPr>
              <w:snapToGrid w:val="0"/>
              <w:spacing w:line="360" w:lineRule="exact"/>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spacing w:line="360" w:lineRule="exact"/>
              <w:rPr>
                <w:color w:val="000000" w:themeColor="text1"/>
                <w:szCs w:val="21"/>
              </w:rPr>
            </w:pPr>
            <w:r>
              <w:rPr>
                <w:rFonts w:hint="eastAsia"/>
                <w:color w:val="000000" w:themeColor="text1"/>
                <w:szCs w:val="21"/>
              </w:rPr>
              <w:t>课堂讨论</w:t>
            </w:r>
          </w:p>
          <w:p>
            <w:pPr>
              <w:snapToGrid w:val="0"/>
              <w:spacing w:line="360" w:lineRule="exact"/>
              <w:rPr>
                <w:color w:val="000000" w:themeColor="text1"/>
                <w:szCs w:val="21"/>
              </w:rPr>
            </w:pPr>
            <w:r>
              <w:rPr>
                <w:rFonts w:hint="eastAsia"/>
                <w:color w:val="000000" w:themeColor="text1"/>
                <w:szCs w:val="21"/>
              </w:rPr>
              <w:t> </w:t>
            </w:r>
          </w:p>
          <w:p>
            <w:pPr>
              <w:snapToGrid w:val="0"/>
              <w:spacing w:line="360" w:lineRule="exact"/>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课外自学</w:t>
            </w:r>
          </w:p>
          <w:p>
            <w:pPr>
              <w:snapToGrid w:val="0"/>
              <w:spacing w:line="360" w:lineRule="exact"/>
              <w:rPr>
                <w:color w:val="000000" w:themeColor="text1"/>
                <w:szCs w:val="21"/>
              </w:rPr>
            </w:pPr>
            <w:r>
              <w:rPr>
                <w:rFonts w:hint="eastAsia"/>
                <w:color w:val="000000" w:themeColor="text1"/>
                <w:szCs w:val="21"/>
              </w:rPr>
              <w:t> </w:t>
            </w:r>
          </w:p>
          <w:p>
            <w:pPr>
              <w:snapToGrid w:val="0"/>
              <w:spacing w:line="360" w:lineRule="exact"/>
              <w:rPr>
                <w:rFonts w:ascii="宋体" w:hAnsi="宋体" w:cs="宋体"/>
                <w:color w:val="000000" w:themeColor="text1"/>
                <w:szCs w:val="21"/>
              </w:rPr>
            </w:pPr>
            <w:r>
              <w:rPr>
                <w:rFonts w:hint="eastAsia"/>
                <w:color w:val="000000" w:themeColor="text1"/>
                <w:szCs w:val="21"/>
              </w:rPr>
              <w:t>　　学时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1</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Unit 1 Planning Your Future Career</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ascii="宋体" w:hAnsi="宋体" w:cs="宋体"/>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2</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 xml:space="preserve">Unit 2 Art of the Table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3</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Unit 3 Leisure Activities</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ascii="宋体" w:hAnsi="宋体" w:cs="宋体"/>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4</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 xml:space="preserve">Unit 4 Living a Healthier Life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15" w:hRule="atLeast"/>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5</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Unit 5 Smarter Transportation</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6</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Unit 6 The Role of Education</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7</w:t>
            </w:r>
          </w:p>
        </w:tc>
        <w:tc>
          <w:tcPr>
            <w:tcW w:w="349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r>
              <w:rPr>
                <w:rFonts w:hint="eastAsia"/>
                <w:color w:val="000000" w:themeColor="text1"/>
                <w:szCs w:val="21"/>
              </w:rPr>
              <w:t xml:space="preserve">Unit 7 Academic English Writing </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eastAsia="宋体"/>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4155" w:type="dxa"/>
            <w:gridSpan w:val="2"/>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r>
              <w:rPr>
                <w:rFonts w:hint="eastAsia"/>
                <w:color w:val="000000" w:themeColor="text1"/>
                <w:szCs w:val="21"/>
              </w:rPr>
              <w:t>合计</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ascii="宋体" w:hAnsi="宋体" w:cs="宋体"/>
                <w:color w:val="000000" w:themeColor="text1"/>
                <w:szCs w:val="21"/>
              </w:rPr>
              <w:t>27</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cs="宋体"/>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ascii="宋体" w:hAnsi="宋体" w:cs="宋体"/>
                <w:color w:val="000000" w:themeColor="text1"/>
                <w:szCs w:val="21"/>
              </w:rPr>
              <w:t>21</w:t>
            </w:r>
          </w:p>
        </w:tc>
        <w:tc>
          <w:tcPr>
            <w:tcW w:w="1125" w:type="dxa"/>
            <w:tcBorders>
              <w:top w:val="outset" w:color="FFFFFF" w:sz="6" w:space="0"/>
              <w:left w:val="outset" w:color="FFFFFF" w:sz="6" w:space="0"/>
              <w:bottom w:val="outset" w:color="FFFFFF" w:sz="6" w:space="0"/>
              <w:right w:val="outset" w:color="FFFFFF" w:sz="6" w:space="0"/>
            </w:tcBorders>
          </w:tcPr>
          <w:p>
            <w:pPr>
              <w:snapToGrid w:val="0"/>
              <w:spacing w:line="360" w:lineRule="exact"/>
              <w:rPr>
                <w:rFonts w:ascii="宋体" w:hAnsi="宋体" w:eastAsia="宋体" w:cs="宋体"/>
                <w:color w:val="000000" w:themeColor="text1"/>
                <w:szCs w:val="21"/>
              </w:rPr>
            </w:pPr>
            <w:r>
              <w:rPr>
                <w:rFonts w:hint="eastAsia"/>
                <w:color w:val="000000" w:themeColor="text1"/>
                <w:szCs w:val="21"/>
              </w:rPr>
              <w:t>28</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考核采用平时讲课和期末论文相结合的方式进行，平时成绩包括学习态度、课内外作业、课堂内外讨论等占50％，期末考核成绩占50％。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）％；期末考核（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w:t>
      </w:r>
    </w:p>
    <w:p>
      <w:pPr>
        <w:pStyle w:val="63"/>
        <w:spacing w:line="360" w:lineRule="auto"/>
        <w:outlineLvl w:val="0"/>
        <w:rPr>
          <w:rFonts w:ascii="宋体" w:hAnsi="宋体"/>
          <w:b w:val="0"/>
          <w:color w:val="000000" w:themeColor="text1"/>
          <w:kern w:val="0"/>
          <w:szCs w:val="21"/>
        </w:rPr>
      </w:pPr>
      <w:r>
        <w:rPr>
          <w:rFonts w:hint="eastAsia"/>
          <w:color w:val="000000" w:themeColor="text1"/>
          <w:szCs w:val="24"/>
        </w:rPr>
        <w:t>五、</w:t>
      </w:r>
      <w:r>
        <w:rPr>
          <w:color w:val="000000" w:themeColor="text1"/>
          <w:szCs w:val="24"/>
        </w:rPr>
        <w:t>教材及教学参考资料：</w:t>
      </w:r>
      <w:r>
        <w:rPr>
          <w:rFonts w:ascii="宋体" w:hAnsi="宋体"/>
          <w:b w:val="0"/>
          <w:color w:val="000000" w:themeColor="text1"/>
          <w:kern w:val="0"/>
          <w:szCs w:val="21"/>
        </w:rPr>
        <w:t xml:space="preserve"> </w:t>
      </w:r>
    </w:p>
    <w:p>
      <w:pPr>
        <w:widowControl/>
        <w:spacing w:line="360" w:lineRule="exact"/>
        <w:ind w:firstLine="315" w:firstLineChars="150"/>
        <w:jc w:val="left"/>
        <w:rPr>
          <w:rFonts w:ascii="宋体" w:hAnsi="宋体" w:cs="宋体"/>
          <w:color w:val="000000" w:themeColor="text1"/>
          <w:kern w:val="0"/>
          <w:szCs w:val="21"/>
        </w:rPr>
      </w:pPr>
      <w:r>
        <w:rPr>
          <w:rFonts w:ascii="宋体" w:hAnsi="宋体" w:cs="宋体"/>
          <w:color w:val="000000" w:themeColor="text1"/>
          <w:kern w:val="0"/>
          <w:szCs w:val="21"/>
        </w:rPr>
        <w:t>教材：</w:t>
      </w:r>
    </w:p>
    <w:p>
      <w:pPr>
        <w:widowControl/>
        <w:spacing w:line="360" w:lineRule="exact"/>
        <w:ind w:firstLine="315" w:firstLineChars="150"/>
        <w:jc w:val="left"/>
        <w:rPr>
          <w:rFonts w:ascii="宋体" w:hAnsi="宋体" w:cs="宋体"/>
          <w:color w:val="000000" w:themeColor="text1"/>
          <w:kern w:val="0"/>
          <w:szCs w:val="21"/>
        </w:rPr>
      </w:pPr>
      <w:r>
        <w:rPr>
          <w:rFonts w:hint="eastAsia" w:ascii="宋体" w:hAnsi="宋体" w:cs="宋体"/>
          <w:color w:val="000000" w:themeColor="text1"/>
          <w:kern w:val="0"/>
          <w:szCs w:val="21"/>
        </w:rPr>
        <w:t>熊海虹</w:t>
      </w:r>
      <w:r>
        <w:rPr>
          <w:rFonts w:ascii="宋体" w:hAnsi="宋体" w:cs="宋体"/>
          <w:color w:val="000000" w:themeColor="text1"/>
          <w:kern w:val="0"/>
          <w:szCs w:val="21"/>
        </w:rPr>
        <w:t>.</w:t>
      </w:r>
      <w:r>
        <w:rPr>
          <w:rFonts w:hint="eastAsia" w:ascii="宋体" w:hAnsi="宋体" w:cs="宋体"/>
          <w:color w:val="000000" w:themeColor="text1"/>
          <w:kern w:val="0"/>
          <w:szCs w:val="21"/>
        </w:rPr>
        <w:t>研究生英语综合教程（上）</w:t>
      </w:r>
      <w:r>
        <w:rPr>
          <w:rFonts w:ascii="宋体" w:hAnsi="宋体" w:cs="宋体"/>
          <w:color w:val="000000" w:themeColor="text1"/>
          <w:kern w:val="0"/>
          <w:szCs w:val="21"/>
        </w:rPr>
        <w:t>.</w:t>
      </w:r>
      <w:r>
        <w:rPr>
          <w:rFonts w:hint="eastAsia" w:ascii="宋体" w:hAnsi="宋体" w:cs="宋体"/>
          <w:color w:val="000000" w:themeColor="text1"/>
          <w:kern w:val="0"/>
          <w:szCs w:val="21"/>
        </w:rPr>
        <w:t>外语教学与研究出版社</w:t>
      </w:r>
      <w:r>
        <w:rPr>
          <w:rFonts w:ascii="宋体" w:hAnsi="宋体" w:cs="宋体"/>
          <w:color w:val="000000" w:themeColor="text1"/>
          <w:kern w:val="0"/>
          <w:szCs w:val="21"/>
        </w:rPr>
        <w:t>.</w:t>
      </w:r>
      <w:r>
        <w:rPr>
          <w:rFonts w:hint="eastAsia" w:ascii="宋体" w:hAnsi="宋体" w:cs="宋体"/>
          <w:color w:val="000000" w:themeColor="text1"/>
          <w:kern w:val="0"/>
          <w:szCs w:val="21"/>
        </w:rPr>
        <w:t>2009</w:t>
      </w:r>
      <w:r>
        <w:rPr>
          <w:rFonts w:ascii="宋体" w:hAnsi="宋体" w:cs="宋体"/>
          <w:color w:val="000000" w:themeColor="text1"/>
          <w:kern w:val="0"/>
          <w:szCs w:val="21"/>
        </w:rPr>
        <w:t>年版</w:t>
      </w:r>
    </w:p>
    <w:p>
      <w:pPr>
        <w:widowControl/>
        <w:spacing w:line="360" w:lineRule="exact"/>
        <w:ind w:firstLine="315" w:firstLineChars="150"/>
        <w:jc w:val="left"/>
        <w:rPr>
          <w:rFonts w:ascii="宋体" w:hAnsi="宋体" w:cs="宋体"/>
          <w:color w:val="000000" w:themeColor="text1"/>
          <w:kern w:val="0"/>
          <w:szCs w:val="21"/>
        </w:rPr>
      </w:pPr>
      <w:r>
        <w:rPr>
          <w:rFonts w:ascii="宋体" w:hAnsi="宋体" w:cs="宋体"/>
          <w:color w:val="000000" w:themeColor="text1"/>
          <w:kern w:val="0"/>
          <w:szCs w:val="21"/>
        </w:rPr>
        <w:t xml:space="preserve">参考资料： </w:t>
      </w:r>
    </w:p>
    <w:p>
      <w:pPr>
        <w:widowControl/>
        <w:spacing w:line="360" w:lineRule="exact"/>
        <w:ind w:firstLine="315" w:firstLineChars="150"/>
        <w:jc w:val="left"/>
        <w:rPr>
          <w:rFonts w:ascii="宋体" w:hAnsi="宋体" w:cs="宋体"/>
          <w:color w:val="000000" w:themeColor="text1"/>
          <w:kern w:val="0"/>
          <w:szCs w:val="21"/>
        </w:rPr>
      </w:pPr>
      <w:r>
        <w:rPr>
          <w:rFonts w:hint="eastAsia" w:ascii="宋体" w:hAnsi="宋体" w:cs="宋体"/>
          <w:color w:val="000000" w:themeColor="text1"/>
          <w:kern w:val="0"/>
          <w:szCs w:val="21"/>
        </w:rPr>
        <w:t>1.蔡基刚</w:t>
      </w:r>
      <w:r>
        <w:rPr>
          <w:rFonts w:ascii="宋体" w:hAnsi="宋体" w:cs="宋体"/>
          <w:color w:val="000000" w:themeColor="text1"/>
          <w:kern w:val="0"/>
          <w:szCs w:val="21"/>
        </w:rPr>
        <w:t>.</w:t>
      </w:r>
      <w:r>
        <w:rPr>
          <w:rFonts w:hint="eastAsia" w:ascii="宋体" w:hAnsi="宋体" w:cs="宋体"/>
          <w:color w:val="000000" w:themeColor="text1"/>
          <w:kern w:val="0"/>
          <w:szCs w:val="21"/>
        </w:rPr>
        <w:t>学术英语（社科）</w:t>
      </w:r>
      <w:r>
        <w:rPr>
          <w:rFonts w:ascii="宋体" w:hAnsi="宋体" w:cs="宋体"/>
          <w:color w:val="000000" w:themeColor="text1"/>
          <w:kern w:val="0"/>
          <w:szCs w:val="21"/>
        </w:rPr>
        <w:t>.</w:t>
      </w:r>
      <w:r>
        <w:rPr>
          <w:rFonts w:hint="eastAsia" w:ascii="宋体" w:hAnsi="宋体" w:cs="宋体"/>
          <w:color w:val="000000" w:themeColor="text1"/>
          <w:kern w:val="0"/>
          <w:szCs w:val="21"/>
        </w:rPr>
        <w:t>外语教育与研究出版社</w:t>
      </w:r>
      <w:r>
        <w:rPr>
          <w:rFonts w:ascii="宋体" w:hAnsi="宋体" w:cs="宋体"/>
          <w:color w:val="000000" w:themeColor="text1"/>
          <w:kern w:val="0"/>
          <w:szCs w:val="21"/>
        </w:rPr>
        <w:t>.</w:t>
      </w:r>
      <w:r>
        <w:rPr>
          <w:rFonts w:hint="eastAsia" w:ascii="宋体" w:hAnsi="宋体" w:cs="宋体"/>
          <w:color w:val="000000" w:themeColor="text1"/>
          <w:kern w:val="0"/>
          <w:szCs w:val="21"/>
        </w:rPr>
        <w:t>2012</w:t>
      </w:r>
      <w:r>
        <w:rPr>
          <w:rFonts w:ascii="宋体" w:hAnsi="宋体" w:cs="宋体"/>
          <w:color w:val="000000" w:themeColor="text1"/>
          <w:kern w:val="0"/>
          <w:szCs w:val="21"/>
        </w:rPr>
        <w:t>年版</w:t>
      </w:r>
    </w:p>
    <w:p>
      <w:pPr>
        <w:widowControl/>
        <w:spacing w:line="360" w:lineRule="exact"/>
        <w:ind w:firstLine="315" w:firstLineChars="150"/>
        <w:jc w:val="center"/>
        <w:rPr>
          <w:rFonts w:ascii="仿宋" w:hAnsi="仿宋" w:eastAsia="仿宋" w:cs="仿宋"/>
          <w:b/>
          <w:color w:val="000000" w:themeColor="text1"/>
          <w:sz w:val="32"/>
          <w:szCs w:val="32"/>
        </w:rPr>
      </w:pPr>
      <w:r>
        <w:rPr>
          <w:rFonts w:hint="eastAsia" w:ascii="宋体" w:hAnsi="宋体"/>
          <w:color w:val="000000" w:themeColor="text1"/>
          <w:szCs w:val="28"/>
        </w:rPr>
        <w:t>2.高桂珍,王慧莉. 新世纪研究生公共英语教材阅读.上海外语教育出版社,</w:t>
      </w:r>
      <w:r>
        <w:rPr>
          <w:rFonts w:hint="eastAsia" w:ascii="宋体" w:hAnsi="宋体"/>
          <w:color w:val="000000" w:themeColor="text1"/>
          <w:sz w:val="28"/>
          <w:szCs w:val="28"/>
        </w:rPr>
        <w:t xml:space="preserve"> </w:t>
      </w:r>
      <w:r>
        <w:rPr>
          <w:rFonts w:hint="eastAsia" w:ascii="宋体" w:hAnsi="宋体"/>
          <w:color w:val="000000" w:themeColor="text1"/>
          <w:szCs w:val="28"/>
        </w:rPr>
        <w:t>2006年版</w:t>
      </w:r>
      <w:r>
        <w:rPr>
          <w:color w:val="000000" w:themeColor="text1"/>
          <w:sz w:val="32"/>
          <w:szCs w:val="32"/>
        </w:rPr>
        <w:br w:type="page"/>
      </w: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spacing w:line="440" w:lineRule="exact"/>
        <w:jc w:val="center"/>
        <w:rPr>
          <w:b/>
          <w:bCs/>
          <w:color w:val="000000" w:themeColor="text1"/>
          <w:sz w:val="32"/>
        </w:rPr>
      </w:pPr>
      <w:r>
        <w:rPr>
          <w:rFonts w:hint="eastAsia"/>
          <w:b/>
          <w:bCs/>
          <w:color w:val="000000" w:themeColor="text1"/>
          <w:sz w:val="32"/>
        </w:rPr>
        <w:t>硕士英语口语课程教学大纲</w:t>
      </w:r>
    </w:p>
    <w:p>
      <w:pPr>
        <w:spacing w:line="440" w:lineRule="exact"/>
        <w:jc w:val="center"/>
        <w:rPr>
          <w:b/>
          <w:bCs/>
          <w:color w:val="000000" w:themeColor="text1"/>
          <w:sz w:val="32"/>
        </w:rPr>
      </w:pPr>
    </w:p>
    <w:p>
      <w:pPr>
        <w:adjustRightInd w:val="0"/>
        <w:snapToGrid w:val="0"/>
        <w:spacing w:line="360" w:lineRule="auto"/>
        <w:rPr>
          <w:color w:val="000000" w:themeColor="text1"/>
          <w:szCs w:val="21"/>
        </w:rPr>
      </w:pPr>
      <w:r>
        <w:rPr>
          <w:rFonts w:hint="eastAsia"/>
          <w:b/>
          <w:bCs/>
          <w:color w:val="000000" w:themeColor="text1"/>
          <w:szCs w:val="21"/>
        </w:rPr>
        <w:t>课程名称：</w:t>
      </w:r>
      <w:r>
        <w:rPr>
          <w:rFonts w:hint="eastAsia"/>
          <w:bCs/>
          <w:color w:val="000000" w:themeColor="text1"/>
          <w:szCs w:val="21"/>
        </w:rPr>
        <w:t>硕士英语口语/</w:t>
      </w:r>
      <w:r>
        <w:rPr>
          <w:rFonts w:hint="eastAsia"/>
          <w:color w:val="000000" w:themeColor="text1"/>
          <w:szCs w:val="21"/>
        </w:rPr>
        <w:t xml:space="preserve"> Oral English for Graduate Students</w:t>
      </w:r>
    </w:p>
    <w:p>
      <w:pPr>
        <w:adjustRightInd w:val="0"/>
        <w:snapToGrid w:val="0"/>
        <w:spacing w:line="360" w:lineRule="auto"/>
        <w:rPr>
          <w:color w:val="000000" w:themeColor="text1"/>
        </w:rPr>
      </w:pPr>
      <w:r>
        <w:rPr>
          <w:rFonts w:hint="eastAsia"/>
          <w:b/>
          <w:bCs/>
          <w:color w:val="000000" w:themeColor="text1"/>
          <w:szCs w:val="21"/>
        </w:rPr>
        <w:t>课程代码：</w:t>
      </w:r>
      <w:r>
        <w:rPr>
          <w:color w:val="000000" w:themeColor="text1"/>
        </w:rPr>
        <w:t>0000091002</w:t>
      </w:r>
    </w:p>
    <w:p>
      <w:pPr>
        <w:adjustRightInd w:val="0"/>
        <w:snapToGrid w:val="0"/>
        <w:spacing w:line="360" w:lineRule="auto"/>
        <w:rPr>
          <w:color w:val="000000" w:themeColor="text1"/>
          <w:szCs w:val="21"/>
        </w:rPr>
      </w:pPr>
      <w:r>
        <w:rPr>
          <w:rFonts w:hint="eastAsia"/>
          <w:b/>
          <w:bCs/>
          <w:color w:val="000000" w:themeColor="text1"/>
          <w:szCs w:val="21"/>
        </w:rPr>
        <w:t>课程类型：</w:t>
      </w:r>
      <w:r>
        <w:rPr>
          <w:rFonts w:hint="eastAsia"/>
          <w:color w:val="000000" w:themeColor="text1"/>
          <w:szCs w:val="21"/>
        </w:rPr>
        <w:t>学科学位课 公共课</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rFonts w:hint="eastAsia" w:ascii="宋体" w:hAnsi="宋体"/>
          <w:color w:val="000000" w:themeColor="text1"/>
          <w:sz w:val="21"/>
          <w:szCs w:val="21"/>
        </w:rPr>
        <w:t>48</w:t>
      </w:r>
    </w:p>
    <w:p>
      <w:pPr>
        <w:pStyle w:val="62"/>
        <w:adjustRightInd w:val="0"/>
        <w:snapToGrid w:val="0"/>
        <w:spacing w:line="360" w:lineRule="auto"/>
        <w:ind w:firstLine="0" w:firstLineChars="0"/>
        <w:rPr>
          <w:rFonts w:ascii="宋体" w:hAnsi="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ascii="宋体" w:hAnsi="宋体"/>
          <w:color w:val="000000" w:themeColor="text1"/>
          <w:sz w:val="21"/>
          <w:szCs w:val="21"/>
        </w:rPr>
        <w:t>3</w:t>
      </w:r>
    </w:p>
    <w:p>
      <w:pPr>
        <w:pStyle w:val="62"/>
        <w:tabs>
          <w:tab w:val="left" w:pos="3420"/>
        </w:tabs>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color w:val="000000" w:themeColor="text1"/>
          <w:sz w:val="21"/>
          <w:szCs w:val="21"/>
        </w:rPr>
        <w:t>大学英语</w:t>
      </w:r>
    </w:p>
    <w:p>
      <w:pPr>
        <w:pStyle w:val="62"/>
        <w:adjustRightInd w:val="0"/>
        <w:snapToGrid w:val="0"/>
        <w:spacing w:line="360" w:lineRule="auto"/>
        <w:ind w:firstLine="0" w:firstLineChars="0"/>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：外语/中德学院</w:t>
      </w:r>
    </w:p>
    <w:p>
      <w:pPr>
        <w:pStyle w:val="62"/>
        <w:adjustRightInd w:val="0"/>
        <w:snapToGrid w:val="0"/>
        <w:spacing w:line="360" w:lineRule="auto"/>
        <w:ind w:firstLine="0" w:firstLineChars="0"/>
        <w:rPr>
          <w:rFonts w:ascii="宋体" w:hAnsi="宋体"/>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ind w:firstLine="420" w:firstLineChars="200"/>
        <w:rPr>
          <w:rFonts w:ascii="宋体" w:hAnsi="宋体"/>
          <w:color w:val="000000" w:themeColor="text1"/>
        </w:rPr>
      </w:pPr>
      <w:r>
        <w:rPr>
          <w:rFonts w:hint="eastAsia" w:ascii="宋体" w:hAnsi="宋体"/>
          <w:color w:val="000000" w:themeColor="text1"/>
        </w:rPr>
        <w:t>《硕士英语口语》课程是为浙江科技学院汉语国际教育专业学生获得硕士学位而开设的必修学位课程。</w:t>
      </w:r>
    </w:p>
    <w:p>
      <w:pPr>
        <w:ind w:firstLine="420" w:firstLineChars="200"/>
        <w:rPr>
          <w:rFonts w:ascii="宋体" w:hAnsi="宋体"/>
          <w:color w:val="000000" w:themeColor="text1"/>
        </w:rPr>
      </w:pPr>
      <w:r>
        <w:rPr>
          <w:rFonts w:hint="eastAsia" w:ascii="宋体" w:hAnsi="宋体"/>
          <w:color w:val="000000" w:themeColor="text1"/>
        </w:rPr>
        <w:t>本课程将采用任务型学习法，旨在提高学生在学术活动中的口语能力。通过学习，学生必须掌握口头演示陈述的基本技能，如正确的语音语调、记笔记、复述、语言与非语言交流技能等；应能借助幻灯片或其它可视材料在学术环境下进行演示陈述、参与讨论、批判性地进行评价或提问。</w:t>
      </w:r>
    </w:p>
    <w:p>
      <w:pPr>
        <w:pStyle w:val="63"/>
        <w:spacing w:line="360" w:lineRule="auto"/>
        <w:outlineLvl w:val="0"/>
        <w:rPr>
          <w:color w:val="000000" w:themeColor="text1"/>
          <w:szCs w:val="24"/>
        </w:rPr>
      </w:pPr>
      <w:r>
        <w:rPr>
          <w:rFonts w:hint="eastAsia"/>
          <w:color w:val="000000" w:themeColor="text1"/>
          <w:szCs w:val="24"/>
        </w:rPr>
        <w:t>二、教学内容和教学要求</w:t>
      </w:r>
    </w:p>
    <w:p>
      <w:pPr>
        <w:ind w:firstLine="420" w:firstLineChars="200"/>
        <w:rPr>
          <w:rFonts w:ascii="宋体" w:hAnsi="宋体"/>
          <w:color w:val="000000" w:themeColor="text1"/>
        </w:rPr>
      </w:pPr>
      <w:r>
        <w:rPr>
          <w:rFonts w:hint="eastAsia" w:ascii="宋体" w:hAnsi="宋体"/>
          <w:color w:val="000000" w:themeColor="text1"/>
        </w:rPr>
        <w:t>本课程为《硕士英语》后续课程，旨在提高学生在学术活动中的口语能力。通过学习，学生必须掌握口头演示陈述的基本技能，如正确的语音语调，记笔记，复述，语言与非语言交流技能等；应能借助幻灯片或其它可视材料在学术环境下进行演示陈述，参与讨论，批判性地进行评价或提问。</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8655"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60"/>
        <w:gridCol w:w="3495"/>
        <w:gridCol w:w="1125"/>
        <w:gridCol w:w="1125"/>
        <w:gridCol w:w="1125"/>
        <w:gridCol w:w="11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vAlign w:val="center"/>
          </w:tcPr>
          <w:p>
            <w:pPr>
              <w:snapToGrid w:val="0"/>
              <w:rPr>
                <w:rFonts w:ascii="宋体" w:hAnsi="宋体" w:cs="宋体"/>
                <w:color w:val="000000" w:themeColor="text1"/>
                <w:szCs w:val="21"/>
              </w:rPr>
            </w:pPr>
            <w:r>
              <w:rPr>
                <w:rFonts w:hint="eastAsia"/>
                <w:color w:val="000000" w:themeColor="text1"/>
                <w:szCs w:val="21"/>
              </w:rPr>
              <w:t>序号</w:t>
            </w:r>
          </w:p>
        </w:tc>
        <w:tc>
          <w:tcPr>
            <w:tcW w:w="3495" w:type="dxa"/>
            <w:tcBorders>
              <w:top w:val="outset" w:color="FFFFFF" w:sz="6" w:space="0"/>
              <w:left w:val="outset" w:color="FFFFFF" w:sz="6" w:space="0"/>
              <w:bottom w:val="outset" w:color="FFFFFF" w:sz="6" w:space="0"/>
              <w:right w:val="outset" w:color="FFFFFF" w:sz="6" w:space="0"/>
            </w:tcBorders>
            <w:vAlign w:val="center"/>
          </w:tcPr>
          <w:p>
            <w:pPr>
              <w:snapToGrid w:val="0"/>
              <w:rPr>
                <w:rFonts w:ascii="宋体" w:hAnsi="宋体" w:cs="宋体"/>
                <w:color w:val="000000" w:themeColor="text1"/>
                <w:szCs w:val="21"/>
              </w:rPr>
            </w:pPr>
            <w:r>
              <w:rPr>
                <w:rFonts w:hint="eastAsia"/>
                <w:color w:val="000000" w:themeColor="text1"/>
                <w:szCs w:val="21"/>
              </w:rPr>
              <w:t>教学内容</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rPr>
                <w:color w:val="000000" w:themeColor="text1"/>
                <w:szCs w:val="21"/>
              </w:rPr>
            </w:pPr>
            <w:r>
              <w:rPr>
                <w:rFonts w:hint="eastAsia"/>
                <w:color w:val="000000" w:themeColor="text1"/>
                <w:szCs w:val="21"/>
              </w:rPr>
              <w:t>课堂讲课</w:t>
            </w:r>
          </w:p>
          <w:p>
            <w:pPr>
              <w:snapToGrid w:val="0"/>
              <w:rPr>
                <w:color w:val="000000" w:themeColor="text1"/>
                <w:szCs w:val="21"/>
              </w:rPr>
            </w:pPr>
            <w:r>
              <w:rPr>
                <w:rFonts w:hint="eastAsia"/>
                <w:color w:val="000000" w:themeColor="text1"/>
                <w:szCs w:val="21"/>
              </w:rPr>
              <w:t> </w:t>
            </w:r>
          </w:p>
          <w:p>
            <w:pPr>
              <w:snapToGrid w:val="0"/>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rPr>
                <w:color w:val="000000" w:themeColor="text1"/>
                <w:szCs w:val="21"/>
              </w:rPr>
            </w:pPr>
            <w:r>
              <w:rPr>
                <w:rFonts w:hint="eastAsia"/>
                <w:color w:val="000000" w:themeColor="text1"/>
                <w:szCs w:val="21"/>
              </w:rPr>
              <w:t>实践</w:t>
            </w:r>
          </w:p>
          <w:p>
            <w:pPr>
              <w:snapToGrid w:val="0"/>
              <w:rPr>
                <w:color w:val="000000" w:themeColor="text1"/>
                <w:szCs w:val="21"/>
              </w:rPr>
            </w:pPr>
            <w:r>
              <w:rPr>
                <w:rFonts w:hint="eastAsia"/>
                <w:color w:val="000000" w:themeColor="text1"/>
                <w:szCs w:val="21"/>
              </w:rPr>
              <w:t> </w:t>
            </w:r>
          </w:p>
          <w:p>
            <w:pPr>
              <w:snapToGrid w:val="0"/>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vAlign w:val="center"/>
          </w:tcPr>
          <w:p>
            <w:pPr>
              <w:snapToGrid w:val="0"/>
              <w:rPr>
                <w:color w:val="000000" w:themeColor="text1"/>
                <w:szCs w:val="21"/>
              </w:rPr>
            </w:pPr>
            <w:r>
              <w:rPr>
                <w:rFonts w:hint="eastAsia"/>
                <w:color w:val="000000" w:themeColor="text1"/>
                <w:szCs w:val="21"/>
              </w:rPr>
              <w:t>课堂讨论</w:t>
            </w:r>
          </w:p>
          <w:p>
            <w:pPr>
              <w:snapToGrid w:val="0"/>
              <w:rPr>
                <w:color w:val="000000" w:themeColor="text1"/>
                <w:szCs w:val="21"/>
              </w:rPr>
            </w:pPr>
            <w:r>
              <w:rPr>
                <w:rFonts w:hint="eastAsia"/>
                <w:color w:val="000000" w:themeColor="text1"/>
                <w:szCs w:val="21"/>
              </w:rPr>
              <w:t> </w:t>
            </w:r>
          </w:p>
          <w:p>
            <w:pPr>
              <w:snapToGrid w:val="0"/>
              <w:rPr>
                <w:rFonts w:ascii="宋体" w:hAnsi="宋体" w:cs="宋体"/>
                <w:color w:val="000000" w:themeColor="text1"/>
                <w:szCs w:val="21"/>
              </w:rPr>
            </w:pPr>
            <w:r>
              <w:rPr>
                <w:rFonts w:hint="eastAsia"/>
                <w:color w:val="000000" w:themeColor="text1"/>
                <w:szCs w:val="21"/>
              </w:rPr>
              <w:t>　　学时</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课外自学</w:t>
            </w:r>
          </w:p>
          <w:p>
            <w:pPr>
              <w:snapToGrid w:val="0"/>
              <w:rPr>
                <w:color w:val="000000" w:themeColor="text1"/>
                <w:szCs w:val="21"/>
              </w:rPr>
            </w:pPr>
            <w:r>
              <w:rPr>
                <w:rFonts w:hint="eastAsia"/>
                <w:color w:val="000000" w:themeColor="text1"/>
                <w:szCs w:val="21"/>
              </w:rPr>
              <w:t> </w:t>
            </w:r>
          </w:p>
          <w:p>
            <w:pPr>
              <w:snapToGrid w:val="0"/>
              <w:rPr>
                <w:rFonts w:ascii="宋体" w:hAnsi="宋体" w:cs="宋体"/>
                <w:color w:val="000000" w:themeColor="text1"/>
                <w:szCs w:val="21"/>
              </w:rPr>
            </w:pPr>
            <w:r>
              <w:rPr>
                <w:rFonts w:hint="eastAsia"/>
                <w:color w:val="000000" w:themeColor="text1"/>
                <w:szCs w:val="21"/>
              </w:rPr>
              <w:t>　　学时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1</w:t>
            </w:r>
          </w:p>
        </w:tc>
        <w:tc>
          <w:tcPr>
            <w:tcW w:w="349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Unit 1 Are you hooked to it?</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2</w:t>
            </w:r>
          </w:p>
        </w:tc>
        <w:tc>
          <w:tcPr>
            <w:tcW w:w="349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Unit2Education</w:t>
            </w:r>
            <w:r>
              <w:rPr>
                <w:color w:val="000000" w:themeColor="text1"/>
                <w:szCs w:val="21"/>
              </w:rPr>
              <w:t>—</w:t>
            </w:r>
            <w:r>
              <w:rPr>
                <w:rFonts w:hint="eastAsia"/>
                <w:color w:val="000000" w:themeColor="text1"/>
                <w:szCs w:val="21"/>
              </w:rPr>
              <w:t>enlightenment of mind</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349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Unit 3 Do as Romans do</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4</w:t>
            </w:r>
          </w:p>
        </w:tc>
        <w:tc>
          <w:tcPr>
            <w:tcW w:w="349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Unit 4 Acts of Kindness</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5</w:t>
            </w:r>
          </w:p>
        </w:tc>
        <w:tc>
          <w:tcPr>
            <w:tcW w:w="349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Unit 5 The nature we live in</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6</w:t>
            </w:r>
          </w:p>
        </w:tc>
        <w:tc>
          <w:tcPr>
            <w:tcW w:w="349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Unit 6 Probing into science</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 xml:space="preserve">7 </w:t>
            </w:r>
          </w:p>
        </w:tc>
        <w:tc>
          <w:tcPr>
            <w:tcW w:w="349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Unit 7 Let</w:t>
            </w:r>
            <w:r>
              <w:rPr>
                <w:color w:val="000000" w:themeColor="text1"/>
                <w:szCs w:val="21"/>
              </w:rPr>
              <w:t>’</w:t>
            </w:r>
            <w:r>
              <w:rPr>
                <w:rFonts w:hint="eastAsia"/>
                <w:color w:val="000000" w:themeColor="text1"/>
                <w:szCs w:val="21"/>
              </w:rPr>
              <w:t>s entertain ourselves</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8</w:t>
            </w:r>
          </w:p>
        </w:tc>
        <w:tc>
          <w:tcPr>
            <w:tcW w:w="349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Unit 8 I</w:t>
            </w:r>
            <w:r>
              <w:rPr>
                <w:color w:val="000000" w:themeColor="text1"/>
                <w:szCs w:val="21"/>
              </w:rPr>
              <w:t>’</w:t>
            </w:r>
            <w:r>
              <w:rPr>
                <w:rFonts w:hint="eastAsia"/>
                <w:color w:val="000000" w:themeColor="text1"/>
                <w:szCs w:val="21"/>
              </w:rPr>
              <w:t>m a sports fan</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3</w:t>
            </w:r>
          </w:p>
        </w:tc>
        <w:tc>
          <w:tcPr>
            <w:tcW w:w="1125" w:type="dxa"/>
            <w:tcBorders>
              <w:top w:val="outset" w:color="FFFFFF" w:sz="6" w:space="0"/>
              <w:left w:val="outset" w:color="FFFFFF" w:sz="6" w:space="0"/>
              <w:bottom w:val="outset" w:color="FFFFFF" w:sz="6" w:space="0"/>
              <w:right w:val="outset" w:color="FFFFFF" w:sz="6" w:space="0"/>
            </w:tcBorders>
          </w:tcPr>
          <w:p>
            <w:pPr>
              <w:snapToGrid w:val="0"/>
              <w:rPr>
                <w:color w:val="000000" w:themeColor="text1"/>
                <w:szCs w:val="21"/>
              </w:rPr>
            </w:pPr>
            <w:r>
              <w:rPr>
                <w:rFonts w:hint="eastAsia"/>
                <w:color w:val="000000" w:themeColor="text1"/>
                <w:szCs w:val="21"/>
              </w:rP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660"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c>
          <w:tcPr>
            <w:tcW w:w="349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4155" w:type="dxa"/>
            <w:gridSpan w:val="2"/>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合计</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24</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ascii="宋体" w:hAnsi="宋体" w:cs="宋体"/>
                <w:color w:val="000000" w:themeColor="text1"/>
                <w:szCs w:val="21"/>
              </w:rPr>
              <w:t>24</w:t>
            </w:r>
          </w:p>
        </w:tc>
        <w:tc>
          <w:tcPr>
            <w:tcW w:w="1125" w:type="dxa"/>
            <w:tcBorders>
              <w:top w:val="outset" w:color="FFFFFF" w:sz="6" w:space="0"/>
              <w:left w:val="outset" w:color="FFFFFF" w:sz="6" w:space="0"/>
              <w:bottom w:val="outset" w:color="FFFFFF" w:sz="6" w:space="0"/>
              <w:right w:val="outset" w:color="FFFFFF" w:sz="6" w:space="0"/>
            </w:tcBorders>
          </w:tcPr>
          <w:p>
            <w:pPr>
              <w:snapToGrid w:val="0"/>
              <w:rPr>
                <w:rFonts w:ascii="宋体" w:hAnsi="宋体" w:cs="宋体"/>
                <w:color w:val="000000" w:themeColor="text1"/>
                <w:szCs w:val="21"/>
              </w:rPr>
            </w:pPr>
            <w:r>
              <w:rPr>
                <w:rFonts w:hint="eastAsia"/>
                <w:color w:val="000000" w:themeColor="text1"/>
                <w:szCs w:val="21"/>
              </w:rPr>
              <w:t> 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考核采用平时讲课和期末论文相结合的方式进行，平时成绩包括学习态度、课内外作业、课堂内外讨论等占50％，期末考核成绩占50％。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总评成绩构成：平时考核（6</w:t>
      </w:r>
      <w:r>
        <w:rPr>
          <w:rFonts w:asciiTheme="minorEastAsia" w:hAnsiTheme="minorEastAsia"/>
          <w:color w:val="000000" w:themeColor="text1"/>
          <w:szCs w:val="21"/>
          <w:shd w:val="clear" w:color="auto" w:fill="FFFFFF"/>
        </w:rPr>
        <w:t>0</w:t>
      </w:r>
      <w:r>
        <w:rPr>
          <w:rFonts w:hint="eastAsia" w:asciiTheme="minorEastAsia" w:hAnsiTheme="minorEastAsia"/>
          <w:color w:val="000000" w:themeColor="text1"/>
          <w:szCs w:val="21"/>
          <w:shd w:val="clear" w:color="auto" w:fill="FFFFFF"/>
        </w:rPr>
        <w:t>）％；期末考核（4</w:t>
      </w:r>
      <w:r>
        <w:rPr>
          <w:rFonts w:asciiTheme="minorEastAsia" w:hAnsiTheme="minorEastAsia"/>
          <w:color w:val="000000" w:themeColor="text1"/>
          <w:szCs w:val="21"/>
          <w:shd w:val="clear" w:color="auto" w:fill="FFFFFF"/>
        </w:rPr>
        <w:t>0</w:t>
      </w:r>
      <w:r>
        <w:rPr>
          <w:rFonts w:hint="eastAsia" w:asciiTheme="minorEastAsia" w:hAnsiTheme="minorEastAsia"/>
          <w:color w:val="000000" w:themeColor="text1"/>
          <w:szCs w:val="21"/>
          <w:shd w:val="clear" w:color="auto" w:fill="FFFFFF"/>
        </w:rPr>
        <w:t>）％</w:t>
      </w:r>
    </w:p>
    <w:p>
      <w:pPr>
        <w:pStyle w:val="63"/>
        <w:spacing w:line="360" w:lineRule="auto"/>
        <w:outlineLvl w:val="0"/>
        <w:rPr>
          <w:color w:val="000000" w:themeColor="text1"/>
          <w:szCs w:val="24"/>
        </w:rPr>
      </w:pPr>
      <w:r>
        <w:rPr>
          <w:rFonts w:hint="eastAsia"/>
          <w:color w:val="000000" w:themeColor="text1"/>
          <w:szCs w:val="24"/>
        </w:rPr>
        <w:t>五、</w:t>
      </w:r>
      <w:r>
        <w:rPr>
          <w:color w:val="000000" w:themeColor="text1"/>
          <w:szCs w:val="24"/>
        </w:rPr>
        <w:t>教材及教学参考资料</w:t>
      </w:r>
    </w:p>
    <w:p>
      <w:pPr>
        <w:widowControl/>
        <w:spacing w:line="330" w:lineRule="atLeast"/>
        <w:ind w:firstLine="315" w:firstLineChars="150"/>
        <w:jc w:val="left"/>
        <w:rPr>
          <w:rFonts w:ascii="宋体" w:hAnsi="宋体" w:cs="宋体"/>
          <w:color w:val="000000" w:themeColor="text1"/>
          <w:kern w:val="0"/>
          <w:szCs w:val="21"/>
        </w:rPr>
      </w:pPr>
      <w:r>
        <w:rPr>
          <w:rFonts w:ascii="宋体" w:hAnsi="宋体" w:cs="宋体"/>
          <w:b/>
          <w:color w:val="000000" w:themeColor="text1"/>
          <w:kern w:val="0"/>
          <w:szCs w:val="21"/>
        </w:rPr>
        <w:t>教材</w:t>
      </w:r>
      <w:r>
        <w:rPr>
          <w:rFonts w:ascii="宋体" w:hAnsi="宋体" w:cs="宋体"/>
          <w:color w:val="000000" w:themeColor="text1"/>
          <w:kern w:val="0"/>
          <w:szCs w:val="21"/>
        </w:rPr>
        <w:t xml:space="preserve">： </w:t>
      </w:r>
    </w:p>
    <w:p>
      <w:pPr>
        <w:widowControl/>
        <w:spacing w:line="330" w:lineRule="atLeast"/>
        <w:ind w:firstLine="315" w:firstLineChars="150"/>
        <w:jc w:val="left"/>
        <w:rPr>
          <w:rFonts w:ascii="宋体" w:hAnsi="宋体" w:cs="宋体"/>
          <w:color w:val="000000" w:themeColor="text1"/>
          <w:kern w:val="0"/>
          <w:szCs w:val="21"/>
        </w:rPr>
      </w:pPr>
      <w:r>
        <w:rPr>
          <w:rFonts w:hint="eastAsia" w:ascii="宋体" w:hAnsi="宋体" w:cs="宋体"/>
          <w:color w:val="000000" w:themeColor="text1"/>
          <w:kern w:val="0"/>
          <w:szCs w:val="21"/>
        </w:rPr>
        <w:t>李萌涛，周炳兰</w:t>
      </w:r>
      <w:r>
        <w:rPr>
          <w:rFonts w:ascii="宋体" w:hAnsi="宋体" w:cs="宋体"/>
          <w:color w:val="000000" w:themeColor="text1"/>
          <w:kern w:val="0"/>
          <w:szCs w:val="21"/>
        </w:rPr>
        <w:t>.</w:t>
      </w:r>
      <w:r>
        <w:rPr>
          <w:rFonts w:hint="eastAsia" w:ascii="宋体" w:hAnsi="宋体" w:cs="宋体"/>
          <w:color w:val="000000" w:themeColor="text1"/>
          <w:kern w:val="0"/>
          <w:szCs w:val="21"/>
        </w:rPr>
        <w:t>研究生英语听说教程（上）</w:t>
      </w:r>
      <w:r>
        <w:rPr>
          <w:rFonts w:ascii="宋体" w:hAnsi="宋体" w:cs="宋体"/>
          <w:color w:val="000000" w:themeColor="text1"/>
          <w:kern w:val="0"/>
          <w:szCs w:val="21"/>
        </w:rPr>
        <w:t>.</w:t>
      </w:r>
      <w:r>
        <w:rPr>
          <w:rFonts w:hint="eastAsia" w:ascii="宋体" w:hAnsi="宋体" w:cs="宋体"/>
          <w:color w:val="000000" w:themeColor="text1"/>
          <w:kern w:val="0"/>
          <w:szCs w:val="21"/>
        </w:rPr>
        <w:t>外语教学与研究</w:t>
      </w:r>
      <w:r>
        <w:rPr>
          <w:rFonts w:ascii="宋体" w:hAnsi="宋体" w:cs="宋体"/>
          <w:color w:val="000000" w:themeColor="text1"/>
          <w:kern w:val="0"/>
          <w:szCs w:val="21"/>
        </w:rPr>
        <w:t>出版社.</w:t>
      </w:r>
      <w:r>
        <w:rPr>
          <w:rFonts w:hint="eastAsia" w:ascii="宋体" w:hAnsi="宋体" w:cs="宋体"/>
          <w:color w:val="000000" w:themeColor="text1"/>
          <w:kern w:val="0"/>
          <w:szCs w:val="21"/>
        </w:rPr>
        <w:t>2011</w:t>
      </w:r>
      <w:r>
        <w:rPr>
          <w:rFonts w:ascii="宋体" w:hAnsi="宋体" w:cs="宋体"/>
          <w:color w:val="000000" w:themeColor="text1"/>
          <w:kern w:val="0"/>
          <w:szCs w:val="21"/>
        </w:rPr>
        <w:t>年版</w:t>
      </w:r>
    </w:p>
    <w:p>
      <w:pPr>
        <w:widowControl/>
        <w:spacing w:line="330" w:lineRule="atLeast"/>
        <w:ind w:firstLine="315" w:firstLineChars="150"/>
        <w:jc w:val="left"/>
        <w:rPr>
          <w:rFonts w:ascii="宋体" w:hAnsi="宋体" w:cs="宋体"/>
          <w:b/>
          <w:color w:val="000000" w:themeColor="text1"/>
          <w:kern w:val="0"/>
          <w:szCs w:val="21"/>
        </w:rPr>
      </w:pPr>
      <w:r>
        <w:rPr>
          <w:rFonts w:ascii="宋体" w:hAnsi="宋体" w:cs="宋体"/>
          <w:b/>
          <w:color w:val="000000" w:themeColor="text1"/>
          <w:kern w:val="0"/>
          <w:szCs w:val="21"/>
        </w:rPr>
        <w:t>参考资料：</w:t>
      </w:r>
    </w:p>
    <w:p>
      <w:pPr>
        <w:widowControl/>
        <w:spacing w:line="330" w:lineRule="atLeast"/>
        <w:ind w:firstLine="315" w:firstLineChars="150"/>
        <w:jc w:val="left"/>
        <w:rPr>
          <w:rFonts w:ascii="宋体" w:hAnsi="宋体" w:cs="宋体"/>
          <w:color w:val="000000" w:themeColor="text1"/>
          <w:kern w:val="0"/>
          <w:szCs w:val="21"/>
        </w:rPr>
      </w:pPr>
      <w:r>
        <w:rPr>
          <w:rFonts w:hint="eastAsia" w:ascii="宋体" w:hAnsi="宋体"/>
          <w:color w:val="000000" w:themeColor="text1"/>
          <w:szCs w:val="18"/>
        </w:rPr>
        <w:t>1.Miriam Espeseth</w:t>
      </w:r>
      <w:r>
        <w:rPr>
          <w:rFonts w:ascii="宋体" w:hAnsi="宋体" w:cs="宋体"/>
          <w:color w:val="000000" w:themeColor="text1"/>
          <w:kern w:val="0"/>
          <w:szCs w:val="21"/>
        </w:rPr>
        <w:t>.</w:t>
      </w:r>
      <w:r>
        <w:rPr>
          <w:rFonts w:hint="eastAsia" w:ascii="宋体" w:hAnsi="宋体"/>
          <w:color w:val="000000" w:themeColor="text1"/>
          <w:szCs w:val="28"/>
        </w:rPr>
        <w:t xml:space="preserve"> 高年级英语听说</w:t>
      </w:r>
      <w:r>
        <w:rPr>
          <w:rFonts w:ascii="宋体" w:hAnsi="宋体" w:cs="宋体"/>
          <w:color w:val="000000" w:themeColor="text1"/>
          <w:kern w:val="0"/>
          <w:szCs w:val="21"/>
        </w:rPr>
        <w:t>.</w:t>
      </w:r>
      <w:r>
        <w:rPr>
          <w:rFonts w:hint="eastAsia" w:ascii="宋体" w:hAnsi="宋体"/>
          <w:color w:val="000000" w:themeColor="text1"/>
          <w:szCs w:val="28"/>
        </w:rPr>
        <w:t xml:space="preserve"> 上海外语教育出版社</w:t>
      </w:r>
      <w:r>
        <w:rPr>
          <w:rFonts w:ascii="宋体" w:hAnsi="宋体" w:cs="宋体"/>
          <w:color w:val="000000" w:themeColor="text1"/>
          <w:kern w:val="0"/>
          <w:szCs w:val="21"/>
        </w:rPr>
        <w:t>.</w:t>
      </w:r>
      <w:r>
        <w:rPr>
          <w:rFonts w:hint="eastAsia" w:ascii="宋体" w:hAnsi="宋体" w:cs="宋体"/>
          <w:color w:val="000000" w:themeColor="text1"/>
          <w:kern w:val="0"/>
          <w:szCs w:val="21"/>
        </w:rPr>
        <w:t>2005</w:t>
      </w:r>
      <w:r>
        <w:rPr>
          <w:rFonts w:ascii="宋体" w:hAnsi="宋体" w:cs="宋体"/>
          <w:color w:val="000000" w:themeColor="text1"/>
          <w:kern w:val="0"/>
          <w:szCs w:val="21"/>
        </w:rPr>
        <w:t>年版</w:t>
      </w:r>
    </w:p>
    <w:p>
      <w:pPr>
        <w:widowControl/>
        <w:spacing w:line="330" w:lineRule="atLeast"/>
        <w:ind w:firstLine="315" w:firstLineChars="150"/>
        <w:jc w:val="left"/>
        <w:rPr>
          <w:rFonts w:ascii="宋体" w:hAnsi="宋体" w:cs="宋体"/>
          <w:color w:val="000000" w:themeColor="text1"/>
          <w:kern w:val="0"/>
          <w:szCs w:val="21"/>
        </w:rPr>
      </w:pPr>
      <w:r>
        <w:rPr>
          <w:rFonts w:hint="eastAsia" w:ascii="宋体" w:hAnsi="宋体" w:cs="宋体"/>
          <w:color w:val="000000" w:themeColor="text1"/>
          <w:kern w:val="0"/>
          <w:szCs w:val="21"/>
        </w:rPr>
        <w:t>2.周萍，周学群.研究生英语高级口语.复旦大学出版社.2009版</w:t>
      </w:r>
    </w:p>
    <w:p>
      <w:pPr>
        <w:widowControl/>
        <w:spacing w:line="330" w:lineRule="atLeast"/>
        <w:jc w:val="left"/>
        <w:rPr>
          <w:rFonts w:ascii="宋体" w:hAnsi="宋体" w:cs="宋体"/>
          <w:color w:val="000000" w:themeColor="text1"/>
          <w:kern w:val="0"/>
          <w:szCs w:val="21"/>
        </w:rPr>
      </w:pPr>
    </w:p>
    <w:p>
      <w:pPr>
        <w:widowControl/>
        <w:jc w:val="left"/>
        <w:rPr>
          <w:rFonts w:ascii="仿宋" w:hAnsi="仿宋" w:eastAsia="仿宋"/>
          <w:b/>
          <w:color w:val="000000" w:themeColor="text1"/>
          <w:sz w:val="32"/>
          <w:szCs w:val="32"/>
        </w:rPr>
      </w:pPr>
      <w:r>
        <w:rPr>
          <w:rFonts w:ascii="仿宋" w:hAnsi="仿宋" w:eastAsia="仿宋"/>
          <w:b/>
          <w:color w:val="000000" w:themeColor="text1"/>
          <w:sz w:val="32"/>
          <w:szCs w:val="32"/>
        </w:rPr>
        <w:br w:type="page"/>
      </w:r>
    </w:p>
    <w:p>
      <w:pPr>
        <w:adjustRightInd w:val="0"/>
        <w:snapToGrid w:val="0"/>
        <w:spacing w:line="300" w:lineRule="auto"/>
        <w:ind w:firstLine="1760" w:firstLineChars="55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rPr>
          <w:color w:val="000000" w:themeColor="text1"/>
          <w:sz w:val="32"/>
          <w:szCs w:val="32"/>
        </w:rPr>
      </w:pPr>
      <w:r>
        <w:rPr>
          <w:rFonts w:hint="eastAsia"/>
          <w:color w:val="000000" w:themeColor="text1"/>
          <w:sz w:val="32"/>
          <w:szCs w:val="32"/>
        </w:rPr>
        <w:t>汉语作为第二语言教学课程教学大纲</w:t>
      </w:r>
    </w:p>
    <w:p>
      <w:pPr>
        <w:pStyle w:val="62"/>
        <w:spacing w:line="360" w:lineRule="auto"/>
        <w:ind w:firstLine="422"/>
        <w:rPr>
          <w:b/>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：汉语作为第二语言教学</w:t>
      </w:r>
      <w:r>
        <w:rPr>
          <w:rFonts w:ascii="宋体" w:hAnsi="宋体"/>
          <w:color w:val="000000" w:themeColor="text1"/>
          <w:sz w:val="21"/>
          <w:szCs w:val="21"/>
        </w:rPr>
        <w:t>Teaching  Chinese  as  a Second  Language</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hint="eastAsia" w:asciiTheme="minorEastAsia" w:hAnsiTheme="minorEastAsia"/>
          <w:color w:val="000000" w:themeColor="text1"/>
          <w:sz w:val="21"/>
          <w:szCs w:val="21"/>
        </w:rPr>
        <w:t>1504534001</w:t>
      </w:r>
      <w:r>
        <w:rPr>
          <w:rFonts w:hint="eastAsia" w:ascii="宋体" w:hAnsi="宋体"/>
          <w:color w:val="000000" w:themeColor="text1"/>
          <w:sz w:val="21"/>
          <w:szCs w:val="21"/>
        </w:rPr>
        <w:t xml:space="preserve"> </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 核心课程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64</w:t>
      </w:r>
    </w:p>
    <w:p>
      <w:pPr>
        <w:pStyle w:val="62"/>
        <w:spacing w:line="360" w:lineRule="auto"/>
        <w:ind w:firstLine="422"/>
        <w:rPr>
          <w:rFonts w:ascii="宋体" w:hAnsi="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4</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w:t>
      </w:r>
      <w:r>
        <w:rPr>
          <w:rFonts w:hint="eastAsia" w:ascii="宋体" w:hAnsi="宋体"/>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spacing w:line="360" w:lineRule="auto"/>
        <w:ind w:firstLine="420" w:firstLineChars="200"/>
        <w:rPr>
          <w:rFonts w:asciiTheme="minorEastAsia" w:hAnsiTheme="minorEastAsia"/>
          <w:color w:val="000000" w:themeColor="text1"/>
          <w:szCs w:val="21"/>
          <w:shd w:val="clear" w:color="auto" w:fill="FFFFFF"/>
        </w:rPr>
      </w:pPr>
      <w:r>
        <w:rPr>
          <w:rFonts w:hint="eastAsia" w:cs="宋体" w:asciiTheme="minorEastAsia" w:hAnsiTheme="minorEastAsia"/>
          <w:color w:val="000000" w:themeColor="text1"/>
          <w:szCs w:val="21"/>
        </w:rPr>
        <w:t>《</w:t>
      </w:r>
      <w:r>
        <w:rPr>
          <w:rFonts w:hint="eastAsia" w:asciiTheme="minorEastAsia" w:hAnsiTheme="minorEastAsia"/>
          <w:color w:val="000000" w:themeColor="text1"/>
          <w:szCs w:val="21"/>
        </w:rPr>
        <w:t>汉语作为第二语言教学</w:t>
      </w:r>
      <w:r>
        <w:rPr>
          <w:rFonts w:hint="eastAsia" w:cs="宋体" w:asciiTheme="minorEastAsia" w:hAnsiTheme="minorEastAsia"/>
          <w:color w:val="000000" w:themeColor="text1"/>
          <w:szCs w:val="21"/>
        </w:rPr>
        <w:t>》是汉语国际教育硕士专业学生学位核心课程之一。</w:t>
      </w:r>
      <w:r>
        <w:rPr>
          <w:rFonts w:hint="eastAsia" w:asciiTheme="minorEastAsia" w:hAnsiTheme="minorEastAsia"/>
          <w:bCs/>
          <w:color w:val="000000" w:themeColor="text1"/>
          <w:kern w:val="0"/>
          <w:szCs w:val="21"/>
        </w:rPr>
        <w:t>本课程的目的在于使学生树立汉语作为第二语言教学的正确理念，掌握汉语作为第二语言教学的汉语本体知识和基本教学方法</w:t>
      </w:r>
      <w:r>
        <w:rPr>
          <w:rFonts w:hint="eastAsia" w:asciiTheme="minorEastAsia" w:hAnsiTheme="minorEastAsia"/>
          <w:color w:val="000000" w:themeColor="text1"/>
          <w:szCs w:val="21"/>
        </w:rPr>
        <w:t>。通过汉语作为第二语言教学的基本理论、基本知识的讲授和具体课堂教学的实践、实例相结合的方法，</w:t>
      </w:r>
      <w:r>
        <w:rPr>
          <w:rFonts w:hint="eastAsia" w:cs="宋体" w:asciiTheme="minorEastAsia" w:hAnsiTheme="minorEastAsia"/>
          <w:color w:val="000000" w:themeColor="text1"/>
          <w:szCs w:val="21"/>
        </w:rPr>
        <w:t>使学生较深入</w:t>
      </w:r>
      <w:r>
        <w:rPr>
          <w:rFonts w:cs="宋体" w:asciiTheme="minorEastAsia" w:hAnsiTheme="minorEastAsia"/>
          <w:color w:val="000000" w:themeColor="text1"/>
          <w:szCs w:val="21"/>
        </w:rPr>
        <w:t>系统地</w:t>
      </w:r>
      <w:r>
        <w:rPr>
          <w:rFonts w:hint="eastAsia" w:cs="宋体" w:asciiTheme="minorEastAsia" w:hAnsiTheme="minorEastAsia"/>
          <w:color w:val="000000" w:themeColor="text1"/>
          <w:szCs w:val="21"/>
        </w:rPr>
        <w:t>掌握</w:t>
      </w:r>
      <w:r>
        <w:rPr>
          <w:rFonts w:hint="eastAsia" w:asciiTheme="minorEastAsia" w:hAnsiTheme="minorEastAsia"/>
          <w:color w:val="000000" w:themeColor="text1"/>
          <w:szCs w:val="21"/>
          <w:shd w:val="clear" w:color="auto" w:fill="FFFFFF"/>
        </w:rPr>
        <w:t>汉语作为第二语言教学的知识，习得汉语作为第二语言教学的基本技能。</w:t>
      </w:r>
    </w:p>
    <w:p>
      <w:pPr>
        <w:pStyle w:val="63"/>
        <w:spacing w:line="360" w:lineRule="auto"/>
        <w:outlineLvl w:val="0"/>
        <w:rPr>
          <w:color w:val="000000" w:themeColor="text1"/>
          <w:szCs w:val="24"/>
        </w:rPr>
      </w:pPr>
      <w:r>
        <w:rPr>
          <w:rFonts w:hint="eastAsia"/>
          <w:color w:val="000000" w:themeColor="text1"/>
          <w:szCs w:val="24"/>
        </w:rPr>
        <w:t>二、教学内容及教学基本要求</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培养学生掌握汉语作为第二语言教学时学习者学习语音、词汇、语法、篇章、汉字等语言要素时的难点和各难点基本的教学方法；掌握汉语作为第二语言教学时听力、口语、阅读、写作和综合技能教学的理论和实践；了解和掌握汉语作为第二语言教学的语言要素教学和听说读写等技能教学的理论基础、教学理念和教学原则等。</w:t>
      </w:r>
    </w:p>
    <w:p>
      <w:pPr>
        <w:ind w:firstLine="420" w:firstLineChars="200"/>
        <w:rPr>
          <w:color w:val="000000" w:themeColor="text1"/>
          <w:szCs w:val="24"/>
        </w:rPr>
      </w:pPr>
    </w:p>
    <w:p>
      <w:pPr>
        <w:ind w:firstLine="480" w:firstLineChars="200"/>
        <w:rPr>
          <w:b/>
          <w:color w:val="000000" w:themeColor="text1"/>
          <w:sz w:val="24"/>
          <w:szCs w:val="24"/>
        </w:rPr>
      </w:pPr>
      <w:r>
        <w:rPr>
          <w:rFonts w:hint="eastAsia"/>
          <w:b/>
          <w:color w:val="000000" w:themeColor="text1"/>
          <w:sz w:val="24"/>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第一讲    汉语作为第二语言教学的发展概貌</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第二讲    汉语作为第二语言的语音教学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cs="宋体" w:asciiTheme="minorEastAsia" w:hAnsiTheme="minorEastAsia"/>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asciiTheme="minorEastAsia" w:hAnsiTheme="minorEastAsia"/>
                <w:bCs/>
                <w:color w:val="000000" w:themeColor="text1"/>
              </w:rPr>
              <w:t>第三讲    汉语作为第二语言的词汇教学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第四讲    汉语作为第二语言的语法教学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第五讲    汉语作为第二语言的篇章教学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第六讲    汉语作为第二语言的汉字教学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cs="宋体" w:asciiTheme="minorEastAsia" w:hAnsiTheme="minorEastAsia"/>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第七讲    汉语作为第二语言的听力教学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第八讲    汉语作为第二语言的口语教学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9</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bCs/>
                <w:color w:val="000000" w:themeColor="text1"/>
              </w:rPr>
            </w:pPr>
            <w:r>
              <w:rPr>
                <w:rFonts w:hint="eastAsia" w:asciiTheme="minorEastAsia" w:hAnsiTheme="minorEastAsia"/>
                <w:bCs/>
                <w:color w:val="000000" w:themeColor="text1"/>
              </w:rPr>
              <w:t>第九讲    汉语作为第二语言的阅读教学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10</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bCs/>
                <w:color w:val="000000" w:themeColor="text1"/>
              </w:rPr>
            </w:pPr>
            <w:r>
              <w:rPr>
                <w:rFonts w:hint="eastAsia" w:asciiTheme="minorEastAsia" w:hAnsiTheme="minorEastAsia"/>
                <w:bCs/>
                <w:color w:val="000000" w:themeColor="text1"/>
              </w:rPr>
              <w:t>第十讲    汉语作为第二语言的写作教学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11</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bCs/>
                <w:color w:val="000000" w:themeColor="text1"/>
              </w:rPr>
            </w:pPr>
            <w:r>
              <w:rPr>
                <w:rFonts w:hint="eastAsia" w:asciiTheme="minorEastAsia" w:hAnsiTheme="minorEastAsia"/>
                <w:bCs/>
                <w:color w:val="000000" w:themeColor="text1"/>
              </w:rPr>
              <w:t>第十一讲  汉语作为第二语言的教材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12</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asciiTheme="minorEastAsia" w:hAnsiTheme="minorEastAsia"/>
                <w:bCs/>
                <w:color w:val="000000" w:themeColor="text1"/>
              </w:rPr>
            </w:pPr>
            <w:r>
              <w:rPr>
                <w:rFonts w:hint="eastAsia" w:asciiTheme="minorEastAsia" w:hAnsiTheme="minorEastAsia"/>
                <w:bCs/>
                <w:color w:val="000000" w:themeColor="text1"/>
              </w:rPr>
              <w:t>第十二讲  汉语作为第二语言的测试</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64</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考核采用平时讲课和期末论文相结合的方式进行，平时成绩包括学习态度、课堂模拟授课、课堂内外讨论等占50％，期末论文成绩占50％。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）％；期末考核（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ind w:firstLine="210" w:firstLineChars="100"/>
        <w:rPr>
          <w:rFonts w:ascii="宋体" w:hAnsi="宋体"/>
          <w:b/>
          <w:color w:val="000000" w:themeColor="text1"/>
          <w:szCs w:val="21"/>
        </w:rPr>
      </w:pPr>
      <w:r>
        <w:rPr>
          <w:rFonts w:hint="eastAsia" w:ascii="宋体" w:hAnsi="宋体"/>
          <w:color w:val="000000" w:themeColor="text1"/>
          <w:szCs w:val="21"/>
        </w:rPr>
        <w:t xml:space="preserve">  </w:t>
      </w:r>
      <w:r>
        <w:rPr>
          <w:rFonts w:hint="eastAsia" w:ascii="宋体" w:hAnsi="宋体"/>
          <w:b/>
          <w:color w:val="000000" w:themeColor="text1"/>
          <w:szCs w:val="21"/>
        </w:rPr>
        <w:t>参考资料：</w:t>
      </w:r>
    </w:p>
    <w:p>
      <w:pPr>
        <w:spacing w:line="360" w:lineRule="auto"/>
        <w:ind w:firstLine="420" w:firstLineChars="200"/>
        <w:rPr>
          <w:rFonts w:asciiTheme="minorEastAsia" w:hAnsiTheme="minorEastAsia"/>
          <w:color w:val="000000" w:themeColor="text1"/>
          <w:szCs w:val="21"/>
          <w:shd w:val="clear" w:color="auto" w:fill="FFFFFF"/>
        </w:rPr>
      </w:pPr>
      <w:bookmarkStart w:id="20" w:name="_Toc360023663"/>
      <w:bookmarkStart w:id="21" w:name="_Toc360029102"/>
      <w:bookmarkStart w:id="22" w:name="_Toc360395425"/>
      <w:bookmarkStart w:id="23" w:name="_Toc360392724"/>
      <w:bookmarkStart w:id="24" w:name="_Toc360028531"/>
      <w:bookmarkStart w:id="25" w:name="_Toc360023932"/>
      <w:bookmarkStart w:id="26" w:name="_Toc360392483"/>
      <w:r>
        <w:rPr>
          <w:rFonts w:asciiTheme="minorEastAsia" w:hAnsiTheme="minorEastAsia"/>
          <w:color w:val="000000" w:themeColor="text1"/>
          <w:szCs w:val="21"/>
          <w:shd w:val="clear" w:color="auto" w:fill="FFFFFF"/>
        </w:rPr>
        <w:t>1</w:t>
      </w:r>
      <w:r>
        <w:rPr>
          <w:rFonts w:hint="eastAsia" w:asciiTheme="minorEastAsia" w:hAnsiTheme="minorEastAsia"/>
          <w:color w:val="000000" w:themeColor="text1"/>
          <w:szCs w:val="21"/>
          <w:shd w:val="clear" w:color="auto" w:fill="FFFFFF"/>
        </w:rPr>
        <w:t>.赵金铭</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对外汉语教学概论</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商务印书馆</w:t>
      </w:r>
      <w:r>
        <w:rPr>
          <w:rFonts w:asciiTheme="minorEastAsia" w:hAnsiTheme="minorEastAsia"/>
          <w:color w:val="000000" w:themeColor="text1"/>
          <w:szCs w:val="21"/>
          <w:shd w:val="clear" w:color="auto" w:fill="FFFFFF"/>
        </w:rPr>
        <w:t>，200</w:t>
      </w:r>
      <w:r>
        <w:rPr>
          <w:rFonts w:hint="eastAsia" w:asciiTheme="minorEastAsia" w:hAnsiTheme="minorEastAsia"/>
          <w:color w:val="000000" w:themeColor="text1"/>
          <w:szCs w:val="21"/>
          <w:shd w:val="clear" w:color="auto" w:fill="FFFFFF"/>
        </w:rPr>
        <w:t>4</w:t>
      </w:r>
      <w:r>
        <w:rPr>
          <w:rFonts w:asciiTheme="minorEastAsia" w:hAnsiTheme="minorEastAsia"/>
          <w:color w:val="000000" w:themeColor="text1"/>
          <w:szCs w:val="21"/>
          <w:shd w:val="clear" w:color="auto" w:fill="FFFFFF"/>
        </w:rPr>
        <w:t>年版</w:t>
      </w:r>
      <w:bookmarkEnd w:id="20"/>
      <w:bookmarkEnd w:id="21"/>
      <w:bookmarkEnd w:id="22"/>
      <w:bookmarkEnd w:id="23"/>
      <w:bookmarkEnd w:id="24"/>
      <w:bookmarkEnd w:id="25"/>
      <w:bookmarkEnd w:id="26"/>
      <w:r>
        <w:rPr>
          <w:rFonts w:hint="eastAsia" w:asciiTheme="minorEastAsia" w:hAnsiTheme="minorEastAsia"/>
          <w:color w:val="000000" w:themeColor="text1"/>
          <w:szCs w:val="21"/>
          <w:shd w:val="clear" w:color="auto" w:fill="FFFFFF"/>
        </w:rPr>
        <w:t>。</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2.张和生</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汉语可以这样教——语言要素篇</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商务印书馆</w:t>
      </w:r>
      <w:r>
        <w:rPr>
          <w:rFonts w:asciiTheme="minorEastAsia" w:hAnsiTheme="minorEastAsia"/>
          <w:color w:val="000000" w:themeColor="text1"/>
          <w:szCs w:val="21"/>
          <w:shd w:val="clear" w:color="auto" w:fill="FFFFFF"/>
        </w:rPr>
        <w:t>，200</w:t>
      </w:r>
      <w:r>
        <w:rPr>
          <w:rFonts w:hint="eastAsia" w:asciiTheme="minorEastAsia" w:hAnsiTheme="minorEastAsia"/>
          <w:color w:val="000000" w:themeColor="text1"/>
          <w:szCs w:val="21"/>
          <w:shd w:val="clear" w:color="auto" w:fill="FFFFFF"/>
        </w:rPr>
        <w:t>6</w:t>
      </w:r>
      <w:r>
        <w:rPr>
          <w:rFonts w:asciiTheme="minorEastAsia" w:hAnsiTheme="minorEastAsia"/>
          <w:color w:val="000000" w:themeColor="text1"/>
          <w:szCs w:val="21"/>
          <w:shd w:val="clear" w:color="auto" w:fill="FFFFFF"/>
        </w:rPr>
        <w:t>年版</w:t>
      </w:r>
      <w:r>
        <w:rPr>
          <w:rFonts w:hint="eastAsia" w:asciiTheme="minorEastAsia" w:hAnsiTheme="minorEastAsia"/>
          <w:color w:val="000000" w:themeColor="text1"/>
          <w:szCs w:val="21"/>
          <w:shd w:val="clear" w:color="auto" w:fill="FFFFFF"/>
        </w:rPr>
        <w:t>。</w:t>
      </w:r>
    </w:p>
    <w:p>
      <w:pPr>
        <w:spacing w:line="360" w:lineRule="auto"/>
        <w:ind w:firstLine="420" w:firstLineChars="200"/>
        <w:rPr>
          <w:rFonts w:asciiTheme="minorEastAsia" w:hAnsiTheme="minorEastAsia"/>
          <w:color w:val="000000" w:themeColor="text1"/>
          <w:szCs w:val="21"/>
          <w:shd w:val="clear" w:color="auto" w:fill="FFFFFF"/>
        </w:rPr>
      </w:pPr>
      <w:bookmarkStart w:id="27" w:name="_Toc360395426"/>
      <w:bookmarkStart w:id="28" w:name="_Toc360392484"/>
      <w:bookmarkStart w:id="29" w:name="_Toc360023664"/>
      <w:bookmarkStart w:id="30" w:name="_Toc360023933"/>
      <w:bookmarkStart w:id="31" w:name="_Toc360392725"/>
      <w:bookmarkStart w:id="32" w:name="_Toc360029103"/>
      <w:bookmarkStart w:id="33" w:name="_Toc360028532"/>
      <w:r>
        <w:rPr>
          <w:rFonts w:hint="eastAsia" w:asciiTheme="minorEastAsia" w:hAnsiTheme="minorEastAsia"/>
          <w:color w:val="000000" w:themeColor="text1"/>
          <w:szCs w:val="21"/>
          <w:shd w:val="clear" w:color="auto" w:fill="FFFFFF"/>
        </w:rPr>
        <w:t>3.毛世桢《对外汉语语音教学》，华东师范大学出版社，2008</w:t>
      </w:r>
      <w:r>
        <w:rPr>
          <w:rFonts w:asciiTheme="minorEastAsia" w:hAnsiTheme="minorEastAsia"/>
          <w:color w:val="000000" w:themeColor="text1"/>
          <w:szCs w:val="21"/>
          <w:shd w:val="clear" w:color="auto" w:fill="FFFFFF"/>
        </w:rPr>
        <w:t>年版</w:t>
      </w:r>
      <w:r>
        <w:rPr>
          <w:rFonts w:hint="eastAsia" w:asciiTheme="minorEastAsia" w:hAnsiTheme="minorEastAsia"/>
          <w:color w:val="000000" w:themeColor="text1"/>
          <w:szCs w:val="21"/>
          <w:shd w:val="clear" w:color="auto" w:fill="FFFFFF"/>
        </w:rPr>
        <w:t>。</w:t>
      </w:r>
    </w:p>
    <w:bookmarkEnd w:id="27"/>
    <w:bookmarkEnd w:id="28"/>
    <w:bookmarkEnd w:id="29"/>
    <w:bookmarkEnd w:id="30"/>
    <w:bookmarkEnd w:id="31"/>
    <w:bookmarkEnd w:id="32"/>
    <w:bookmarkEnd w:id="33"/>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4. 彭小川等</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对外汉语教学语法释疑201例</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商务印书馆</w:t>
      </w:r>
      <w:r>
        <w:rPr>
          <w:rFonts w:asciiTheme="minorEastAsia" w:hAnsiTheme="minorEastAsia"/>
          <w:color w:val="000000" w:themeColor="text1"/>
          <w:szCs w:val="21"/>
          <w:shd w:val="clear" w:color="auto" w:fill="FFFFFF"/>
        </w:rPr>
        <w:t>，200</w:t>
      </w:r>
      <w:r>
        <w:rPr>
          <w:rFonts w:hint="eastAsia" w:asciiTheme="minorEastAsia" w:hAnsiTheme="minorEastAsia"/>
          <w:color w:val="000000" w:themeColor="text1"/>
          <w:szCs w:val="21"/>
          <w:shd w:val="clear" w:color="auto" w:fill="FFFFFF"/>
        </w:rPr>
        <w:t>4</w:t>
      </w:r>
      <w:r>
        <w:rPr>
          <w:rFonts w:asciiTheme="minorEastAsia" w:hAnsiTheme="minorEastAsia"/>
          <w:color w:val="000000" w:themeColor="text1"/>
          <w:szCs w:val="21"/>
          <w:shd w:val="clear" w:color="auto" w:fill="FFFFFF"/>
        </w:rPr>
        <w:t>年版</w:t>
      </w:r>
      <w:r>
        <w:rPr>
          <w:rFonts w:hint="eastAsia" w:asciiTheme="minorEastAsia" w:hAnsiTheme="minorEastAsia"/>
          <w:color w:val="000000" w:themeColor="text1"/>
          <w:szCs w:val="21"/>
          <w:shd w:val="clear" w:color="auto" w:fill="FFFFFF"/>
        </w:rPr>
        <w:t>。</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5.卢福波《汉语语法教学的理论和方法》北京大学出版社，2010年版。</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6.翟艳等《汉语作为第二语言技能教学》，北京大学出版社，2010年版。</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7.刘颂浩《对外汉语听力教学理论和方法》，北京大学出版社，2010年版。</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8.柯传仁等《汉语口语教学》，北京大学出版社，2012年版。</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9.周小兵等《汉语阅读教学理论和方法》，北京大学出版社，2008年版。</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10.罗青松</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对外汉语写作教学研究</w:t>
      </w:r>
      <w:r>
        <w:rPr>
          <w:rFonts w:asciiTheme="minorEastAsia" w:hAnsiTheme="minorEastAsia"/>
          <w:color w:val="000000" w:themeColor="text1"/>
          <w:szCs w:val="21"/>
          <w:shd w:val="clear" w:color="auto" w:fill="FFFFFF"/>
        </w:rPr>
        <w:t>》，</w:t>
      </w:r>
      <w:r>
        <w:rPr>
          <w:rFonts w:hint="eastAsia" w:asciiTheme="minorEastAsia" w:hAnsiTheme="minorEastAsia"/>
          <w:color w:val="000000" w:themeColor="text1"/>
          <w:szCs w:val="21"/>
          <w:shd w:val="clear" w:color="auto" w:fill="FFFFFF"/>
        </w:rPr>
        <w:t>中国社会科学出版社</w:t>
      </w:r>
      <w:r>
        <w:rPr>
          <w:rFonts w:asciiTheme="minorEastAsia" w:hAnsiTheme="minorEastAsia"/>
          <w:color w:val="000000" w:themeColor="text1"/>
          <w:szCs w:val="21"/>
          <w:shd w:val="clear" w:color="auto" w:fill="FFFFFF"/>
        </w:rPr>
        <w:t>，200</w:t>
      </w:r>
      <w:r>
        <w:rPr>
          <w:rFonts w:hint="eastAsia" w:asciiTheme="minorEastAsia" w:hAnsiTheme="minorEastAsia"/>
          <w:color w:val="000000" w:themeColor="text1"/>
          <w:szCs w:val="21"/>
          <w:shd w:val="clear" w:color="auto" w:fill="FFFFFF"/>
        </w:rPr>
        <w:t>2</w:t>
      </w:r>
      <w:r>
        <w:rPr>
          <w:rFonts w:asciiTheme="minorEastAsia" w:hAnsiTheme="minorEastAsia"/>
          <w:color w:val="000000" w:themeColor="text1"/>
          <w:szCs w:val="21"/>
          <w:shd w:val="clear" w:color="auto" w:fill="FFFFFF"/>
        </w:rPr>
        <w:t>年版</w:t>
      </w:r>
      <w:r>
        <w:rPr>
          <w:rFonts w:hint="eastAsia" w:asciiTheme="minorEastAsia" w:hAnsiTheme="minorEastAsia"/>
          <w:color w:val="000000" w:themeColor="text1"/>
          <w:szCs w:val="21"/>
          <w:shd w:val="clear" w:color="auto" w:fill="FFFFFF"/>
        </w:rPr>
        <w:t>。</w:t>
      </w:r>
    </w:p>
    <w:p>
      <w:pPr>
        <w:ind w:firstLine="420" w:firstLineChars="200"/>
        <w:rPr>
          <w:color w:val="000000" w:themeColor="text1"/>
        </w:rPr>
      </w:pPr>
      <w:r>
        <w:rPr>
          <w:rFonts w:hint="eastAsia" w:asciiTheme="minorEastAsia" w:hAnsiTheme="minorEastAsia"/>
          <w:color w:val="000000" w:themeColor="text1"/>
          <w:szCs w:val="21"/>
          <w:shd w:val="clear" w:color="auto" w:fill="FFFFFF"/>
        </w:rPr>
        <w:t>11.Burns, A.&amp; Richards, J.C. The Cambridge Guide to Pedagogy and Practice in Second Language Teaching. New York: Cambridge University Press,2012.</w:t>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跨文化交际课程教学大纲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：跨文化交际 Cross-cultural</w:t>
      </w:r>
      <w:r>
        <w:rPr>
          <w:color w:val="000000" w:themeColor="text1"/>
          <w:sz w:val="21"/>
          <w:szCs w:val="21"/>
        </w:rPr>
        <w:t xml:space="preserve"> </w:t>
      </w:r>
      <w:r>
        <w:rPr>
          <w:rFonts w:hint="eastAsia"/>
          <w:color w:val="000000" w:themeColor="text1"/>
          <w:sz w:val="21"/>
          <w:szCs w:val="21"/>
        </w:rPr>
        <w:t>Communication</w:t>
      </w:r>
      <w:r>
        <w:rPr>
          <w:color w:val="000000" w:themeColor="text1"/>
          <w:sz w:val="21"/>
          <w:szCs w:val="21"/>
        </w:rPr>
        <w:t xml:space="preserve">   </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ascii="宋体" w:hAnsi="宋体"/>
          <w:color w:val="000000" w:themeColor="text1"/>
          <w:sz w:val="21"/>
          <w:szCs w:val="21"/>
        </w:rPr>
        <w:t>1504532005</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：学科学位课核心课程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205" w:firstLineChars="98"/>
        <w:jc w:val="left"/>
        <w:rPr>
          <w:rFonts w:cs="宋体"/>
          <w:color w:val="000000" w:themeColor="text1"/>
          <w:szCs w:val="21"/>
        </w:rPr>
      </w:pPr>
      <w:r>
        <w:rPr>
          <w:rFonts w:hint="eastAsia" w:cs="宋体"/>
          <w:color w:val="000000" w:themeColor="text1"/>
          <w:szCs w:val="21"/>
        </w:rPr>
        <w:t>《跨文化交际》是汉语国际教育硕士专业学生学位核心课程之一。</w:t>
      </w:r>
      <w:r>
        <w:rPr>
          <w:rFonts w:hint="eastAsia"/>
          <w:bCs/>
          <w:color w:val="000000" w:themeColor="text1"/>
          <w:kern w:val="0"/>
          <w:szCs w:val="21"/>
        </w:rPr>
        <w:t>本课程的目的在于使学生了解在跨文化交际过程中不同文化背景的人们（信息的发出者和信息的接受者）之间是如何进行交际的，其交际行为有何差异，熟悉作为外语学习者应具备怎样的文化素质和交际能力，从而提高学生对文化差异的敏感性、宽容性和处理文化差异的灵活性，培养学生的跨文化交际的能力。</w:t>
      </w:r>
      <w:r>
        <w:rPr>
          <w:rFonts w:hint="eastAsia" w:cs="宋体"/>
          <w:color w:val="000000" w:themeColor="text1"/>
          <w:szCs w:val="21"/>
        </w:rPr>
        <w:t>通过课堂跨文化案例分析教学，使学生</w:t>
      </w:r>
      <w:r>
        <w:rPr>
          <w:rFonts w:cs="宋体"/>
          <w:color w:val="000000" w:themeColor="text1"/>
          <w:szCs w:val="21"/>
        </w:rPr>
        <w:t>系统全面地</w:t>
      </w:r>
      <w:r>
        <w:rPr>
          <w:rFonts w:hint="eastAsia" w:cs="宋体"/>
          <w:color w:val="000000" w:themeColor="text1"/>
          <w:szCs w:val="21"/>
        </w:rPr>
        <w:t>掌握</w:t>
      </w:r>
      <w:r>
        <w:rPr>
          <w:rFonts w:cs="宋体"/>
          <w:color w:val="000000" w:themeColor="text1"/>
          <w:szCs w:val="21"/>
        </w:rPr>
        <w:t>中</w:t>
      </w:r>
      <w:r>
        <w:rPr>
          <w:rFonts w:hint="eastAsia" w:cs="宋体"/>
          <w:color w:val="000000" w:themeColor="text1"/>
          <w:szCs w:val="21"/>
        </w:rPr>
        <w:t>西方文化差异及</w:t>
      </w:r>
      <w:r>
        <w:rPr>
          <w:rFonts w:cs="宋体"/>
          <w:color w:val="000000" w:themeColor="text1"/>
          <w:szCs w:val="21"/>
        </w:rPr>
        <w:t>各方面的知识，以便胜任与</w:t>
      </w:r>
      <w:r>
        <w:rPr>
          <w:rFonts w:hint="eastAsia" w:cs="宋体"/>
          <w:color w:val="000000" w:themeColor="text1"/>
          <w:szCs w:val="21"/>
        </w:rPr>
        <w:t>汉语国际教育</w:t>
      </w:r>
      <w:r>
        <w:rPr>
          <w:rFonts w:cs="宋体"/>
          <w:color w:val="000000" w:themeColor="text1"/>
          <w:szCs w:val="21"/>
        </w:rPr>
        <w:t>有关的各种工作，并为深入研究专门领域的</w:t>
      </w:r>
      <w:r>
        <w:rPr>
          <w:rFonts w:hint="eastAsia" w:cs="宋体"/>
          <w:color w:val="000000" w:themeColor="text1"/>
          <w:szCs w:val="21"/>
        </w:rPr>
        <w:t>跨文化交际能力</w:t>
      </w:r>
      <w:r>
        <w:rPr>
          <w:rFonts w:cs="宋体"/>
          <w:color w:val="000000" w:themeColor="text1"/>
          <w:szCs w:val="21"/>
        </w:rPr>
        <w:t>打下基础</w:t>
      </w:r>
      <w:r>
        <w:rPr>
          <w:rFonts w:hint="eastAsia" w:cs="宋体"/>
          <w:color w:val="000000" w:themeColor="text1"/>
          <w:szCs w:val="21"/>
        </w:rPr>
        <w:t>。</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spacing w:line="360" w:lineRule="auto"/>
        <w:ind w:firstLine="420" w:firstLineChars="200"/>
        <w:rPr>
          <w:bCs/>
          <w:color w:val="000000" w:themeColor="text1"/>
          <w:kern w:val="0"/>
          <w:szCs w:val="21"/>
        </w:rPr>
      </w:pPr>
      <w:r>
        <w:rPr>
          <w:color w:val="000000" w:themeColor="text1"/>
          <w:szCs w:val="21"/>
        </w:rPr>
        <w:t xml:space="preserve"> </w:t>
      </w:r>
      <w:r>
        <w:rPr>
          <w:rFonts w:hint="eastAsia" w:ascii="宋体" w:hAnsi="宋体" w:cs="宋体"/>
          <w:color w:val="000000" w:themeColor="text1"/>
          <w:kern w:val="0"/>
          <w:szCs w:val="21"/>
        </w:rPr>
        <w:t>本课程开设一个学期，结合对外汉语专业的特点，</w:t>
      </w:r>
      <w:r>
        <w:rPr>
          <w:rFonts w:hint="eastAsia"/>
          <w:color w:val="000000" w:themeColor="text1"/>
          <w:szCs w:val="21"/>
        </w:rPr>
        <w:t>适当介绍国内外跨文化研究的新成果。</w:t>
      </w:r>
      <w:r>
        <w:rPr>
          <w:rFonts w:hint="eastAsia" w:ascii="宋体" w:hAnsi="宋体" w:cs="宋体"/>
          <w:color w:val="000000" w:themeColor="text1"/>
          <w:kern w:val="0"/>
          <w:szCs w:val="21"/>
        </w:rPr>
        <w:t>并力求贯彻理论联系实际的原则，</w:t>
      </w:r>
      <w:r>
        <w:rPr>
          <w:rFonts w:hint="eastAsia"/>
          <w:bCs/>
          <w:color w:val="000000" w:themeColor="text1"/>
          <w:kern w:val="0"/>
          <w:szCs w:val="21"/>
        </w:rPr>
        <w:t>介绍跨文化交际的基本概念、具体的交际环境（情景、人际关系与交际文化）、交际之文化差异（英汉语词汇的文化意蕴之对比、语言哲学观之对比）、跨文化语用对比分析、跨文化语篇对比分析、非言语行为及其文化差异、跨文化交际能力与多元文化时代的交际等。</w:t>
      </w:r>
    </w:p>
    <w:p>
      <w:pPr>
        <w:spacing w:line="360" w:lineRule="auto"/>
        <w:ind w:firstLine="420" w:firstLineChars="200"/>
        <w:rPr>
          <w:bCs/>
          <w:color w:val="000000" w:themeColor="text1"/>
          <w:kern w:val="0"/>
          <w:szCs w:val="21"/>
        </w:rPr>
      </w:pPr>
      <w:r>
        <w:rPr>
          <w:rFonts w:hint="eastAsia" w:ascii="宋体" w:hAnsi="宋体" w:cs="宋体"/>
          <w:color w:val="000000" w:themeColor="text1"/>
          <w:kern w:val="0"/>
          <w:szCs w:val="21"/>
        </w:rPr>
        <w:t>以课堂教师讲授为主，适当辅以课堂讨论和练习。</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课程介绍  </w:t>
            </w:r>
            <w:r>
              <w:rPr>
                <w:rFonts w:cs="宋体"/>
                <w:color w:val="000000" w:themeColor="text1"/>
                <w:szCs w:val="21"/>
              </w:rPr>
              <w:t xml:space="preserve">第一章 </w:t>
            </w:r>
            <w:r>
              <w:rPr>
                <w:rFonts w:hint="eastAsia" w:cs="宋体"/>
                <w:color w:val="000000" w:themeColor="text1"/>
                <w:szCs w:val="21"/>
              </w:rPr>
              <w:t>跨文化交际学概述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第二章文化背景与跨文化交际</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第三章社会环境与跨文化交际</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第四章规范、符号及代码系统</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第五章跨文化语用对比分析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第六章非言语行为及其文化差异</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第七章性别差异及其跨性别交际</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rPr>
                <w:rFonts w:cs="宋体"/>
                <w:color w:val="000000" w:themeColor="text1"/>
                <w:szCs w:val="21"/>
              </w:rPr>
            </w:pPr>
            <w:r>
              <w:rPr>
                <w:rFonts w:hint="eastAsia" w:cs="宋体"/>
                <w:color w:val="000000" w:themeColor="text1"/>
                <w:szCs w:val="21"/>
              </w:rPr>
              <w:t>案例分析与课堂讨论陈述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spacing w:line="360" w:lineRule="auto"/>
        <w:ind w:left="420" w:leftChars="200" w:firstLine="420" w:firstLineChars="200"/>
        <w:rPr>
          <w:rFonts w:ascii="宋体" w:hAnsi="宋体"/>
          <w:color w:val="000000" w:themeColor="text1"/>
          <w:szCs w:val="21"/>
        </w:rPr>
      </w:pPr>
      <w:r>
        <w:rPr>
          <w:rFonts w:hint="eastAsia" w:ascii="宋体" w:hAnsi="宋体"/>
          <w:color w:val="000000" w:themeColor="text1"/>
          <w:szCs w:val="21"/>
        </w:rPr>
        <w:t xml:space="preserve">考核采用平时阶段性作业检测和期末试卷考试相结合的方式进行，平时成绩包括学习态度、课后习题、读书报告、课堂内外讨论等占50％，期末试卷考试成绩占50％。 </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w:t>
      </w:r>
      <w:r>
        <w:rPr>
          <w:color w:val="000000" w:themeColor="text1"/>
        </w:rPr>
        <w:t>50</w:t>
      </w:r>
      <w:r>
        <w:rPr>
          <w:rFonts w:hint="eastAsia"/>
          <w:color w:val="000000" w:themeColor="text1"/>
        </w:rPr>
        <w:t>）％；期末考核（</w:t>
      </w:r>
      <w:r>
        <w:rPr>
          <w:color w:val="000000" w:themeColor="text1"/>
        </w:rPr>
        <w:t>50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《跨文化交际学概论》，吴为善 严慧仙主编，商务印书馆，2008年出版。</w:t>
      </w:r>
    </w:p>
    <w:p>
      <w:pPr>
        <w:spacing w:line="360" w:lineRule="auto"/>
        <w:ind w:firstLine="420" w:firstLineChars="200"/>
        <w:rPr>
          <w:rFonts w:ascii="宋体" w:hAnsi="宋体"/>
          <w:b/>
          <w:color w:val="000000" w:themeColor="text1"/>
          <w:szCs w:val="21"/>
        </w:rPr>
      </w:pPr>
      <w:r>
        <w:rPr>
          <w:rFonts w:hint="eastAsia" w:ascii="宋体" w:hAnsi="宋体"/>
          <w:b/>
          <w:color w:val="000000" w:themeColor="text1"/>
          <w:szCs w:val="21"/>
        </w:rPr>
        <w:t>参考资料：</w:t>
      </w:r>
    </w:p>
    <w:p>
      <w:pPr>
        <w:spacing w:line="360" w:lineRule="auto"/>
        <w:ind w:left="480"/>
        <w:jc w:val="left"/>
        <w:rPr>
          <w:color w:val="000000" w:themeColor="text1"/>
          <w:szCs w:val="21"/>
        </w:rPr>
      </w:pPr>
      <w:r>
        <w:rPr>
          <w:rFonts w:hint="eastAsia"/>
          <w:color w:val="000000" w:themeColor="text1"/>
          <w:szCs w:val="21"/>
        </w:rPr>
        <w:t>1.《跨文化交际学概论》，胡文仲主编，外语教学与研究出版社，1999年。</w:t>
      </w:r>
    </w:p>
    <w:p>
      <w:pPr>
        <w:spacing w:line="360" w:lineRule="auto"/>
        <w:ind w:left="480"/>
        <w:jc w:val="left"/>
        <w:rPr>
          <w:bCs/>
          <w:color w:val="000000" w:themeColor="text1"/>
          <w:kern w:val="0"/>
          <w:szCs w:val="21"/>
        </w:rPr>
      </w:pPr>
      <w:r>
        <w:rPr>
          <w:rFonts w:hint="eastAsia"/>
          <w:color w:val="000000" w:themeColor="text1"/>
          <w:szCs w:val="21"/>
        </w:rPr>
        <w:t>2．《</w:t>
      </w:r>
      <w:r>
        <w:rPr>
          <w:rFonts w:hint="eastAsia"/>
          <w:bCs/>
          <w:color w:val="000000" w:themeColor="text1"/>
          <w:kern w:val="0"/>
          <w:szCs w:val="21"/>
        </w:rPr>
        <w:t>跨文化交际学》，贾玉新，上海外语教育出版社，1997。</w:t>
      </w:r>
    </w:p>
    <w:p>
      <w:pPr>
        <w:widowControl/>
        <w:spacing w:line="360" w:lineRule="auto"/>
        <w:ind w:firstLine="420"/>
        <w:jc w:val="left"/>
        <w:rPr>
          <w:bCs/>
          <w:color w:val="000000" w:themeColor="text1"/>
          <w:kern w:val="0"/>
          <w:szCs w:val="21"/>
        </w:rPr>
      </w:pPr>
      <w:r>
        <w:rPr>
          <w:rFonts w:hint="eastAsia"/>
          <w:bCs/>
          <w:color w:val="000000" w:themeColor="text1"/>
          <w:kern w:val="0"/>
          <w:szCs w:val="21"/>
        </w:rPr>
        <w:t>3.《文化与交际》，胡文仲主编，外语教学与研究出版社，1994。</w:t>
      </w:r>
    </w:p>
    <w:p>
      <w:pPr>
        <w:widowControl/>
        <w:spacing w:line="360" w:lineRule="auto"/>
        <w:ind w:firstLine="420"/>
        <w:jc w:val="left"/>
        <w:rPr>
          <w:bCs/>
          <w:color w:val="000000" w:themeColor="text1"/>
          <w:kern w:val="0"/>
          <w:szCs w:val="21"/>
        </w:rPr>
      </w:pPr>
      <w:r>
        <w:rPr>
          <w:rFonts w:hint="eastAsia" w:ascii="宋体" w:hAnsi="宋体"/>
          <w:color w:val="000000" w:themeColor="text1"/>
          <w:szCs w:val="21"/>
        </w:rPr>
        <w:t>4.</w:t>
      </w:r>
      <w:r>
        <w:rPr>
          <w:rFonts w:hint="eastAsia"/>
          <w:bCs/>
          <w:color w:val="000000" w:themeColor="text1"/>
          <w:kern w:val="0"/>
          <w:szCs w:val="21"/>
        </w:rPr>
        <w:t>《英美文化辞典》，胡文仲主编，外语教学与研究出版社，1995。</w:t>
      </w:r>
    </w:p>
    <w:p>
      <w:pPr>
        <w:widowControl/>
        <w:spacing w:line="360" w:lineRule="auto"/>
        <w:ind w:firstLine="420"/>
        <w:jc w:val="left"/>
        <w:rPr>
          <w:bCs/>
          <w:color w:val="000000" w:themeColor="text1"/>
          <w:kern w:val="0"/>
          <w:szCs w:val="21"/>
        </w:rPr>
      </w:pPr>
      <w:r>
        <w:rPr>
          <w:rFonts w:hint="eastAsia"/>
          <w:bCs/>
          <w:color w:val="000000" w:themeColor="text1"/>
          <w:kern w:val="0"/>
          <w:szCs w:val="21"/>
        </w:rPr>
        <w:t>5.《跨文化交际》，顾曰国，外语教学与研究出版社，1997。</w:t>
      </w:r>
    </w:p>
    <w:p>
      <w:pPr>
        <w:widowControl/>
        <w:spacing w:line="360" w:lineRule="auto"/>
        <w:ind w:firstLine="420"/>
        <w:jc w:val="left"/>
        <w:rPr>
          <w:bCs/>
          <w:color w:val="000000" w:themeColor="text1"/>
          <w:kern w:val="0"/>
          <w:sz w:val="24"/>
          <w:szCs w:val="24"/>
        </w:rPr>
      </w:pPr>
      <w:r>
        <w:rPr>
          <w:rFonts w:hint="eastAsia"/>
          <w:bCs/>
          <w:color w:val="000000" w:themeColor="text1"/>
          <w:kern w:val="0"/>
          <w:szCs w:val="21"/>
        </w:rPr>
        <w:t>6.</w:t>
      </w:r>
      <w:r>
        <w:rPr>
          <w:rFonts w:hint="eastAsia"/>
          <w:bCs/>
          <w:color w:val="000000" w:themeColor="text1"/>
          <w:kern w:val="0"/>
          <w:sz w:val="24"/>
          <w:szCs w:val="24"/>
        </w:rPr>
        <w:t xml:space="preserve"> </w:t>
      </w:r>
      <w:r>
        <w:rPr>
          <w:rFonts w:hint="eastAsia"/>
          <w:bCs/>
          <w:i/>
          <w:iCs/>
          <w:color w:val="000000" w:themeColor="text1"/>
          <w:kern w:val="0"/>
          <w:sz w:val="24"/>
          <w:szCs w:val="24"/>
        </w:rPr>
        <w:t>Intercultural Communication</w:t>
      </w:r>
      <w:r>
        <w:rPr>
          <w:rFonts w:hint="eastAsia"/>
          <w:bCs/>
          <w:color w:val="000000" w:themeColor="text1"/>
          <w:kern w:val="0"/>
          <w:sz w:val="24"/>
          <w:szCs w:val="24"/>
        </w:rPr>
        <w:t>. Scollon, R. &amp; S. W. Scollon,  Blackwell, 1995.</w:t>
      </w:r>
    </w:p>
    <w:p>
      <w:pPr>
        <w:widowControl/>
        <w:spacing w:line="360" w:lineRule="auto"/>
        <w:ind w:left="417" w:leftChars="199"/>
        <w:jc w:val="left"/>
        <w:rPr>
          <w:bCs/>
          <w:color w:val="000000" w:themeColor="text1"/>
          <w:kern w:val="0"/>
          <w:sz w:val="24"/>
          <w:szCs w:val="24"/>
        </w:rPr>
      </w:pPr>
      <w:r>
        <w:rPr>
          <w:rFonts w:hint="eastAsia"/>
          <w:bCs/>
          <w:color w:val="000000" w:themeColor="text1"/>
          <w:kern w:val="0"/>
          <w:sz w:val="24"/>
          <w:szCs w:val="24"/>
        </w:rPr>
        <w:t xml:space="preserve">7. </w:t>
      </w:r>
      <w:r>
        <w:rPr>
          <w:rFonts w:hint="eastAsia"/>
          <w:bCs/>
          <w:i/>
          <w:iCs/>
          <w:color w:val="000000" w:themeColor="text1"/>
          <w:kern w:val="0"/>
          <w:sz w:val="24"/>
          <w:szCs w:val="24"/>
        </w:rPr>
        <w:t>Communication Between Cultures.</w:t>
      </w:r>
      <w:r>
        <w:rPr>
          <w:rFonts w:hint="eastAsia"/>
          <w:bCs/>
          <w:color w:val="000000" w:themeColor="text1"/>
          <w:kern w:val="0"/>
          <w:sz w:val="24"/>
          <w:szCs w:val="24"/>
        </w:rPr>
        <w:t xml:space="preserve"> Samovar, L. A., Porter, R. E. &amp; L. A. Stefani, Beijing: Foreign Language Teaching and Research Press. 2000.</w:t>
      </w:r>
    </w:p>
    <w:p>
      <w:pPr>
        <w:pStyle w:val="2"/>
        <w:spacing w:line="360" w:lineRule="auto"/>
        <w:rPr>
          <w:color w:val="000000" w:themeColor="text1"/>
          <w:sz w:val="32"/>
          <w:szCs w:val="32"/>
        </w:rPr>
      </w:pPr>
      <w:r>
        <w:rPr>
          <w:color w:val="000000" w:themeColor="text1"/>
          <w:sz w:val="32"/>
          <w:szCs w:val="32"/>
        </w:rPr>
        <w:br w:type="page"/>
      </w:r>
    </w:p>
    <w:p>
      <w:pPr>
        <w:adjustRightInd w:val="0"/>
        <w:snapToGrid w:val="0"/>
        <w:spacing w:line="300" w:lineRule="auto"/>
        <w:ind w:firstLine="1920" w:firstLineChars="600"/>
        <w:jc w:val="left"/>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color w:val="000000" w:themeColor="text1"/>
          <w:sz w:val="32"/>
          <w:szCs w:val="32"/>
        </w:rPr>
        <w:t>国外汉语课堂教学案例</w:t>
      </w:r>
      <w:r>
        <w:rPr>
          <w:rFonts w:hint="eastAsia"/>
          <w:color w:val="000000" w:themeColor="text1"/>
          <w:sz w:val="32"/>
          <w:szCs w:val="32"/>
        </w:rPr>
        <w:t>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color w:val="000000" w:themeColor="text1"/>
          <w:sz w:val="21"/>
          <w:szCs w:val="21"/>
        </w:rPr>
        <w:t xml:space="preserve">国外汉语课堂教学案例   </w:t>
      </w:r>
    </w:p>
    <w:p>
      <w:pPr>
        <w:pStyle w:val="62"/>
        <w:spacing w:line="360" w:lineRule="auto"/>
        <w:ind w:firstLine="422"/>
        <w:rPr>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：1504532003</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：学科学位课/必修</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205" w:firstLineChars="98"/>
        <w:jc w:val="left"/>
        <w:rPr>
          <w:rFonts w:cs="宋体"/>
          <w:color w:val="000000" w:themeColor="text1"/>
          <w:szCs w:val="21"/>
        </w:rPr>
      </w:pPr>
      <w:r>
        <w:rPr>
          <w:rFonts w:hint="eastAsia" w:cs="宋体"/>
          <w:color w:val="000000" w:themeColor="text1"/>
          <w:szCs w:val="21"/>
        </w:rPr>
        <w:t>《汉语教学案例分析》是汉语国际教育专业硕士核心课程之一，是具体解剖分析汉语作为第二语言课堂教学各要素的一门课程。本课程在遵循国内外现代语言教学理念的基础上，针对课堂教学准备、语言要素、语言技能以及课堂管理等方面的教学案例进行具体分析研究。通过教学，使学生通过案例掌握汉语课堂教学的基本规律，培养学生课堂教学的实际操作能力，达到进一步强化教学技能的目的。</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5"/>
        <w:spacing w:line="360" w:lineRule="auto"/>
        <w:rPr>
          <w:color w:val="000000" w:themeColor="text1"/>
          <w:szCs w:val="21"/>
        </w:rPr>
      </w:pPr>
      <w:r>
        <w:rPr>
          <w:rFonts w:hint="eastAsia"/>
          <w:color w:val="000000" w:themeColor="text1"/>
          <w:szCs w:val="21"/>
        </w:rPr>
        <w:t>1．培养学生汉语课堂教学的目标意识，掌握有效教学手段。</w:t>
      </w:r>
    </w:p>
    <w:p>
      <w:pPr>
        <w:pStyle w:val="65"/>
        <w:spacing w:line="360" w:lineRule="auto"/>
        <w:rPr>
          <w:color w:val="000000" w:themeColor="text1"/>
          <w:szCs w:val="21"/>
        </w:rPr>
      </w:pPr>
      <w:r>
        <w:rPr>
          <w:color w:val="000000" w:themeColor="text1"/>
          <w:szCs w:val="21"/>
        </w:rPr>
        <w:t>2</w:t>
      </w:r>
      <w:r>
        <w:rPr>
          <w:rFonts w:hint="eastAsia"/>
          <w:color w:val="000000" w:themeColor="text1"/>
          <w:szCs w:val="21"/>
        </w:rPr>
        <w:t>．通过案例分析使学生熟练掌握各语言要素教学的操作方法。</w:t>
      </w:r>
    </w:p>
    <w:p>
      <w:pPr>
        <w:pStyle w:val="65"/>
        <w:spacing w:line="360" w:lineRule="auto"/>
        <w:rPr>
          <w:color w:val="000000" w:themeColor="text1"/>
          <w:szCs w:val="21"/>
        </w:rPr>
      </w:pPr>
      <w:r>
        <w:rPr>
          <w:color w:val="000000" w:themeColor="text1"/>
          <w:szCs w:val="21"/>
        </w:rPr>
        <w:t>3</w:t>
      </w:r>
      <w:r>
        <w:rPr>
          <w:rFonts w:hint="eastAsia"/>
          <w:color w:val="000000" w:themeColor="text1"/>
          <w:szCs w:val="21"/>
        </w:rPr>
        <w:t xml:space="preserve">．通过案例分析使学生熟练掌握不同语言技能教学的操作方法。 </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第一讲</w:t>
            </w:r>
            <w:r>
              <w:rPr>
                <w:rFonts w:hint="eastAsia" w:cs="宋体"/>
                <w:color w:val="000000" w:themeColor="text1"/>
                <w:szCs w:val="21"/>
              </w:rPr>
              <w:t xml:space="preserve"> </w:t>
            </w:r>
            <w:r>
              <w:rPr>
                <w:rFonts w:hint="eastAsia"/>
                <w:color w:val="000000" w:themeColor="text1"/>
              </w:rPr>
              <w:t>教学准备案例与分析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第二讲</w:t>
            </w:r>
            <w:r>
              <w:rPr>
                <w:rFonts w:hint="eastAsia" w:cs="宋体"/>
                <w:color w:val="000000" w:themeColor="text1"/>
                <w:szCs w:val="21"/>
              </w:rPr>
              <w:t xml:space="preserve"> 无效教学与</w:t>
            </w:r>
            <w:r>
              <w:rPr>
                <w:rFonts w:hint="eastAsia"/>
                <w:color w:val="000000" w:themeColor="text1"/>
              </w:rPr>
              <w:t>有效教学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第三讲</w:t>
            </w:r>
            <w:r>
              <w:rPr>
                <w:rFonts w:hint="eastAsia" w:cs="宋体"/>
                <w:color w:val="000000" w:themeColor="text1"/>
                <w:szCs w:val="21"/>
              </w:rPr>
              <w:t xml:space="preserve"> </w:t>
            </w:r>
            <w:r>
              <w:rPr>
                <w:rFonts w:hint="eastAsia"/>
                <w:color w:val="000000" w:themeColor="text1"/>
              </w:rPr>
              <w:t>课堂互动案例与分析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第四讲</w:t>
            </w:r>
            <w:r>
              <w:rPr>
                <w:rFonts w:hint="eastAsia" w:cs="宋体"/>
                <w:color w:val="000000" w:themeColor="text1"/>
                <w:szCs w:val="21"/>
              </w:rPr>
              <w:t xml:space="preserve"> </w:t>
            </w:r>
            <w:r>
              <w:rPr>
                <w:rFonts w:hint="eastAsia"/>
                <w:color w:val="000000" w:themeColor="text1"/>
              </w:rPr>
              <w:t>纠错案例与分析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第五讲</w:t>
            </w:r>
            <w:r>
              <w:rPr>
                <w:rFonts w:hint="eastAsia" w:cs="宋体"/>
                <w:color w:val="000000" w:themeColor="text1"/>
                <w:szCs w:val="21"/>
              </w:rPr>
              <w:t xml:space="preserve"> </w:t>
            </w:r>
            <w:r>
              <w:rPr>
                <w:rFonts w:hint="eastAsia"/>
                <w:color w:val="000000" w:themeColor="text1"/>
              </w:rPr>
              <w:t>教师语言案例与分析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第六讲</w:t>
            </w:r>
            <w:r>
              <w:rPr>
                <w:rFonts w:hint="eastAsia" w:cs="宋体"/>
                <w:color w:val="000000" w:themeColor="text1"/>
                <w:szCs w:val="21"/>
              </w:rPr>
              <w:t xml:space="preserve"> </w:t>
            </w:r>
            <w:r>
              <w:rPr>
                <w:rFonts w:hint="eastAsia"/>
                <w:color w:val="000000" w:themeColor="text1"/>
              </w:rPr>
              <w:t>文字教学案例与分析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第七讲</w:t>
            </w:r>
            <w:r>
              <w:rPr>
                <w:rFonts w:hint="eastAsia"/>
                <w:color w:val="000000" w:themeColor="text1"/>
              </w:rPr>
              <w:t xml:space="preserve"> 语音教学案例与分析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第八讲</w:t>
            </w:r>
            <w:r>
              <w:rPr>
                <w:rFonts w:hint="eastAsia" w:cs="宋体"/>
                <w:color w:val="000000" w:themeColor="text1"/>
                <w:szCs w:val="21"/>
              </w:rPr>
              <w:t xml:space="preserve"> 词汇</w:t>
            </w:r>
            <w:r>
              <w:rPr>
                <w:rFonts w:hint="eastAsia"/>
                <w:color w:val="000000" w:themeColor="text1"/>
              </w:rPr>
              <w:t>教学案例与分析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9</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第九讲</w:t>
            </w:r>
            <w:r>
              <w:rPr>
                <w:rFonts w:hint="eastAsia"/>
                <w:color w:val="000000" w:themeColor="text1"/>
              </w:rPr>
              <w:t xml:space="preserve"> 语法教学案例与分析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10</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第十讲 听说教学</w:t>
            </w:r>
            <w:r>
              <w:rPr>
                <w:rFonts w:hint="eastAsia"/>
                <w:color w:val="000000" w:themeColor="text1"/>
              </w:rPr>
              <w:t>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第十一讲 读写教学</w:t>
            </w:r>
            <w:r>
              <w:rPr>
                <w:rFonts w:hint="eastAsia"/>
                <w:color w:val="000000" w:themeColor="text1"/>
              </w:rPr>
              <w:t>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 xml:space="preserve">12 </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第十二讲 课堂管理</w:t>
            </w:r>
            <w:r>
              <w:rPr>
                <w:rFonts w:hint="eastAsia"/>
                <w:color w:val="000000" w:themeColor="text1"/>
              </w:rPr>
              <w:t>案例与分析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总评成绩构成：平时考核（4</w:t>
      </w:r>
      <w:r>
        <w:rPr>
          <w:color w:val="000000" w:themeColor="text1"/>
        </w:rPr>
        <w:t>0</w:t>
      </w:r>
      <w:r>
        <w:rPr>
          <w:rFonts w:hint="eastAsia"/>
          <w:color w:val="000000" w:themeColor="text1"/>
        </w:rPr>
        <w:t>）％；期末考核（6</w:t>
      </w:r>
      <w:r>
        <w:rPr>
          <w:color w:val="000000" w:themeColor="text1"/>
        </w:rPr>
        <w:t>0</w:t>
      </w:r>
      <w:r>
        <w:rPr>
          <w:rFonts w:hint="eastAsia"/>
          <w:color w:val="000000" w:themeColor="text1"/>
        </w:rPr>
        <w:t>）％</w:t>
      </w:r>
    </w:p>
    <w:p>
      <w:pPr>
        <w:pStyle w:val="65"/>
        <w:spacing w:line="360" w:lineRule="auto"/>
        <w:rPr>
          <w:color w:val="000000" w:themeColor="text1"/>
        </w:rPr>
      </w:pPr>
      <w:r>
        <w:rPr>
          <w:rFonts w:hint="eastAsia"/>
          <w:color w:val="000000" w:themeColor="text1"/>
        </w:rPr>
        <w:t>平时成绩构成：作业（</w:t>
      </w:r>
      <w:r>
        <w:rPr>
          <w:color w:val="000000" w:themeColor="text1"/>
        </w:rPr>
        <w:t>10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参考资料：</w:t>
      </w:r>
    </w:p>
    <w:p>
      <w:pPr>
        <w:pStyle w:val="67"/>
        <w:numPr>
          <w:ilvl w:val="0"/>
          <w:numId w:val="2"/>
        </w:numPr>
        <w:spacing w:line="360" w:lineRule="auto"/>
        <w:ind w:firstLineChars="0"/>
        <w:rPr>
          <w:color w:val="000000" w:themeColor="text1"/>
        </w:rPr>
      </w:pPr>
      <w:r>
        <w:rPr>
          <w:rFonts w:hint="eastAsia"/>
          <w:color w:val="000000" w:themeColor="text1"/>
        </w:rPr>
        <w:t>叶军《国际汉语教学案例分析与点评》，外语教学与研究出版社2015</w:t>
      </w:r>
    </w:p>
    <w:p>
      <w:pPr>
        <w:pStyle w:val="67"/>
        <w:numPr>
          <w:ilvl w:val="0"/>
          <w:numId w:val="2"/>
        </w:numPr>
        <w:spacing w:line="360" w:lineRule="auto"/>
        <w:ind w:firstLineChars="0"/>
        <w:rPr>
          <w:color w:val="000000" w:themeColor="text1"/>
        </w:rPr>
      </w:pPr>
      <w:r>
        <w:rPr>
          <w:rFonts w:hint="eastAsia"/>
          <w:color w:val="000000" w:themeColor="text1"/>
        </w:rPr>
        <w:t>朱勇《国际汉语教学案例与分析》，高等教育出版社2015第2版</w:t>
      </w:r>
    </w:p>
    <w:p>
      <w:pPr>
        <w:pStyle w:val="67"/>
        <w:numPr>
          <w:ilvl w:val="0"/>
          <w:numId w:val="2"/>
        </w:numPr>
        <w:spacing w:line="360" w:lineRule="auto"/>
        <w:ind w:firstLineChars="0"/>
        <w:rPr>
          <w:color w:val="000000" w:themeColor="text1"/>
        </w:rPr>
      </w:pPr>
      <w:r>
        <w:rPr>
          <w:rFonts w:hint="eastAsia"/>
          <w:color w:val="000000" w:themeColor="text1"/>
        </w:rPr>
        <w:t>杨惠元《课堂教学理论与实践》，北京语言大学出版社2007</w:t>
      </w:r>
    </w:p>
    <w:p>
      <w:pPr>
        <w:pStyle w:val="64"/>
        <w:spacing w:line="360" w:lineRule="auto"/>
        <w:ind w:firstLine="0" w:firstLineChars="0"/>
        <w:rPr>
          <w:color w:val="000000" w:themeColor="text1"/>
        </w:rPr>
      </w:pPr>
    </w:p>
    <w:p>
      <w:pPr>
        <w:pStyle w:val="68"/>
        <w:spacing w:line="360" w:lineRule="auto"/>
        <w:rPr>
          <w:rFonts w:ascii="楷体_GB2312" w:hAnsi="楷体_GB2312" w:eastAsia="楷体_GB2312" w:cs="楷体_GB2312"/>
          <w:bCs w:val="0"/>
          <w:color w:val="000000" w:themeColor="text1"/>
          <w:sz w:val="36"/>
          <w:szCs w:val="36"/>
        </w:rPr>
      </w:pPr>
      <w:r>
        <w:rPr>
          <w:rFonts w:hint="eastAsia" w:ascii="楷体_GB2312" w:hAnsi="楷体_GB2312" w:eastAsia="楷体_GB2312" w:cs="楷体_GB2312"/>
          <w:bCs w:val="0"/>
          <w:color w:val="000000" w:themeColor="text1"/>
          <w:sz w:val="36"/>
          <w:szCs w:val="36"/>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68"/>
        <w:spacing w:line="360" w:lineRule="auto"/>
        <w:rPr>
          <w:bCs w:val="0"/>
          <w:color w:val="000000" w:themeColor="text1"/>
          <w:sz w:val="36"/>
          <w:szCs w:val="36"/>
        </w:rPr>
      </w:pPr>
      <w:r>
        <w:rPr>
          <w:rFonts w:hint="eastAsia" w:ascii="楷体_GB2312" w:hAnsi="楷体_GB2312" w:eastAsia="楷体_GB2312" w:cs="楷体_GB2312"/>
          <w:bCs w:val="0"/>
          <w:color w:val="000000" w:themeColor="text1"/>
          <w:sz w:val="36"/>
          <w:szCs w:val="36"/>
        </w:rPr>
        <w:t>第二语言习得课程教学大纲</w:t>
      </w:r>
    </w:p>
    <w:p>
      <w:pPr>
        <w:pStyle w:val="62"/>
        <w:spacing w:line="360" w:lineRule="auto"/>
        <w:ind w:firstLine="422"/>
        <w:rPr>
          <w:rFonts w:cs="Times New Roman"/>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rFonts w:cs="Times New Roman"/>
          <w:color w:val="000000" w:themeColor="text1"/>
          <w:sz w:val="21"/>
          <w:szCs w:val="21"/>
        </w:rPr>
        <w:t xml:space="preserve">第二语言习得 </w:t>
      </w:r>
      <w:r>
        <w:rPr>
          <w:rFonts w:hint="eastAsia" w:cs="Times New Roman"/>
          <w:color w:val="000000" w:themeColor="text1"/>
          <w:sz w:val="21"/>
          <w:szCs w:val="21"/>
        </w:rPr>
        <w:t>/</w:t>
      </w:r>
      <w:r>
        <w:rPr>
          <w:color w:val="000000" w:themeColor="text1"/>
          <w:sz w:val="21"/>
          <w:szCs w:val="21"/>
        </w:rPr>
        <w:t xml:space="preserve"> </w:t>
      </w:r>
      <w:r>
        <w:rPr>
          <w:rFonts w:cs="Times New Roman"/>
          <w:color w:val="000000" w:themeColor="text1"/>
          <w:sz w:val="21"/>
          <w:szCs w:val="21"/>
        </w:rPr>
        <w:t>Second language acquisition</w:t>
      </w:r>
    </w:p>
    <w:p>
      <w:pPr>
        <w:pStyle w:val="62"/>
        <w:spacing w:line="360" w:lineRule="auto"/>
        <w:ind w:firstLine="422"/>
        <w:rPr>
          <w:rFonts w:cs="Times New Roman"/>
          <w:b/>
          <w:color w:val="000000" w:themeColor="text1"/>
          <w:szCs w:val="24"/>
        </w:rPr>
      </w:pPr>
      <w:r>
        <w:rPr>
          <w:rFonts w:cs="Times New Roman"/>
          <w:b/>
          <w:color w:val="000000" w:themeColor="text1"/>
          <w:sz w:val="21"/>
          <w:szCs w:val="21"/>
        </w:rPr>
        <w:t>课程编号</w:t>
      </w:r>
      <w:r>
        <w:rPr>
          <w:rFonts w:cs="Times New Roman"/>
          <w:color w:val="000000" w:themeColor="text1"/>
          <w:sz w:val="21"/>
          <w:szCs w:val="21"/>
        </w:rPr>
        <w:t>：1504532002</w:t>
      </w:r>
    </w:p>
    <w:p>
      <w:pPr>
        <w:pStyle w:val="62"/>
        <w:spacing w:line="360" w:lineRule="auto"/>
        <w:ind w:firstLine="422"/>
        <w:rPr>
          <w:rFonts w:cs="Times New Roman"/>
          <w:color w:val="000000" w:themeColor="text1"/>
          <w:sz w:val="21"/>
          <w:szCs w:val="21"/>
        </w:rPr>
      </w:pPr>
      <w:r>
        <w:rPr>
          <w:rFonts w:cs="Times New Roman"/>
          <w:b/>
          <w:color w:val="000000" w:themeColor="text1"/>
          <w:sz w:val="21"/>
          <w:szCs w:val="21"/>
        </w:rPr>
        <w:t>课程类型</w:t>
      </w:r>
      <w:r>
        <w:rPr>
          <w:rFonts w:cs="Times New Roman"/>
          <w:color w:val="000000" w:themeColor="text1"/>
          <w:sz w:val="21"/>
          <w:szCs w:val="21"/>
        </w:rPr>
        <w:t>：</w:t>
      </w:r>
      <w:r>
        <w:rPr>
          <w:rFonts w:hint="eastAsia" w:cs="Times New Roman"/>
          <w:color w:val="000000" w:themeColor="text1"/>
          <w:sz w:val="21"/>
          <w:szCs w:val="21"/>
        </w:rPr>
        <w:t>学科学位课</w:t>
      </w:r>
      <w:r>
        <w:rPr>
          <w:rFonts w:cs="Times New Roman"/>
          <w:color w:val="000000" w:themeColor="text1"/>
          <w:sz w:val="21"/>
          <w:szCs w:val="21"/>
        </w:rPr>
        <w:t>核心课程</w:t>
      </w:r>
    </w:p>
    <w:p>
      <w:pPr>
        <w:pStyle w:val="62"/>
        <w:spacing w:line="360" w:lineRule="auto"/>
        <w:ind w:firstLine="422"/>
        <w:rPr>
          <w:rFonts w:cs="Times New Roman"/>
          <w:color w:val="000000" w:themeColor="text1"/>
          <w:sz w:val="21"/>
          <w:szCs w:val="21"/>
        </w:rPr>
      </w:pPr>
      <w:r>
        <w:rPr>
          <w:rFonts w:cs="Times New Roman"/>
          <w:b/>
          <w:color w:val="000000" w:themeColor="text1"/>
          <w:sz w:val="21"/>
          <w:szCs w:val="21"/>
        </w:rPr>
        <w:t>总学时数</w:t>
      </w:r>
      <w:r>
        <w:rPr>
          <w:rFonts w:cs="Times New Roman"/>
          <w:color w:val="000000" w:themeColor="text1"/>
          <w:sz w:val="21"/>
          <w:szCs w:val="21"/>
        </w:rPr>
        <w:t>：</w:t>
      </w:r>
      <w:r>
        <w:rPr>
          <w:rFonts w:hint="eastAsia" w:cs="Times New Roman"/>
          <w:color w:val="000000" w:themeColor="text1"/>
          <w:sz w:val="21"/>
          <w:szCs w:val="21"/>
        </w:rPr>
        <w:t>32</w:t>
      </w:r>
    </w:p>
    <w:p>
      <w:pPr>
        <w:pStyle w:val="62"/>
        <w:spacing w:line="360" w:lineRule="auto"/>
        <w:ind w:firstLine="422"/>
        <w:rPr>
          <w:rFonts w:cs="Times New Roman"/>
          <w:b/>
          <w:color w:val="000000" w:themeColor="text1"/>
          <w:sz w:val="21"/>
          <w:szCs w:val="21"/>
        </w:rPr>
      </w:pPr>
      <w:r>
        <w:rPr>
          <w:rFonts w:cs="Times New Roman"/>
          <w:b/>
          <w:color w:val="000000" w:themeColor="text1"/>
          <w:sz w:val="21"/>
          <w:szCs w:val="21"/>
        </w:rPr>
        <w:t>学    分</w:t>
      </w:r>
      <w:r>
        <w:rPr>
          <w:rFonts w:cs="Times New Roman"/>
          <w:color w:val="000000" w:themeColor="text1"/>
          <w:sz w:val="21"/>
          <w:szCs w:val="21"/>
        </w:rPr>
        <w:t>：</w:t>
      </w:r>
      <w:r>
        <w:rPr>
          <w:rFonts w:hint="eastAsia" w:cs="Times New Roman"/>
          <w:color w:val="000000" w:themeColor="text1"/>
          <w:sz w:val="21"/>
          <w:szCs w:val="21"/>
        </w:rPr>
        <w:t>2</w:t>
      </w:r>
    </w:p>
    <w:p>
      <w:pPr>
        <w:pStyle w:val="62"/>
        <w:tabs>
          <w:tab w:val="left" w:pos="3420"/>
        </w:tabs>
        <w:spacing w:line="360" w:lineRule="auto"/>
        <w:ind w:firstLine="422"/>
        <w:rPr>
          <w:rFonts w:ascii="宋体" w:hAnsi="宋体"/>
          <w:color w:val="000000" w:themeColor="text1"/>
          <w:sz w:val="21"/>
          <w:szCs w:val="21"/>
        </w:rPr>
      </w:pPr>
      <w:r>
        <w:rPr>
          <w:rFonts w:hint="eastAsia" w:ascii="宋体" w:hAnsi="宋体"/>
          <w:b/>
          <w:color w:val="000000" w:themeColor="text1"/>
          <w:sz w:val="21"/>
          <w:szCs w:val="21"/>
        </w:rPr>
        <w:t>先修课程</w:t>
      </w:r>
      <w:r>
        <w:rPr>
          <w:rFonts w:hint="eastAsia" w:ascii="宋体" w:hAnsi="宋体"/>
          <w:color w:val="000000" w:themeColor="text1"/>
          <w:sz w:val="21"/>
          <w:szCs w:val="21"/>
        </w:rPr>
        <w:t xml:space="preserve">： </w:t>
      </w:r>
      <w:r>
        <w:rPr>
          <w:rFonts w:hint="eastAsia" w:cs="Times New Roman"/>
          <w:color w:val="000000" w:themeColor="text1"/>
          <w:sz w:val="21"/>
          <w:szCs w:val="21"/>
        </w:rPr>
        <w:t>汉语作为第二语言教学；汉外语言对比与偏误分析</w:t>
      </w:r>
    </w:p>
    <w:p>
      <w:pPr>
        <w:pStyle w:val="62"/>
        <w:spacing w:line="360" w:lineRule="auto"/>
        <w:ind w:firstLine="0" w:firstLineChars="0"/>
        <w:rPr>
          <w:rFonts w:ascii="宋体" w:hAnsi="宋体"/>
          <w:b/>
          <w:color w:val="000000" w:themeColor="text1"/>
          <w:sz w:val="21"/>
          <w:szCs w:val="21"/>
        </w:rPr>
      </w:pPr>
      <w:r>
        <w:rPr>
          <w:rFonts w:hint="eastAsia" w:ascii="宋体" w:hAnsi="宋体"/>
          <w:b/>
          <w:color w:val="000000" w:themeColor="text1"/>
          <w:szCs w:val="24"/>
        </w:rPr>
        <w:t xml:space="preserve">   </w:t>
      </w:r>
      <w:r>
        <w:rPr>
          <w:rFonts w:hint="eastAsia" w:ascii="宋体" w:hAnsi="宋体"/>
          <w:b/>
          <w:color w:val="000000" w:themeColor="text1"/>
          <w:sz w:val="21"/>
          <w:szCs w:val="21"/>
        </w:rPr>
        <w:t xml:space="preserve"> 开课单位：</w:t>
      </w:r>
      <w:r>
        <w:rPr>
          <w:rFonts w:hint="eastAsia" w:cs="Times New Roman"/>
          <w:color w:val="000000" w:themeColor="text1"/>
          <w:sz w:val="21"/>
          <w:szCs w:val="21"/>
        </w:rPr>
        <w:t xml:space="preserve">人文与国际教育学院 </w:t>
      </w:r>
    </w:p>
    <w:p>
      <w:pPr>
        <w:pStyle w:val="63"/>
        <w:spacing w:line="360" w:lineRule="auto"/>
        <w:ind w:left="1504" w:leftChars="228" w:hanging="1026" w:hangingChars="489"/>
        <w:rPr>
          <w:rFonts w:ascii="宋体" w:hAnsi="宋体"/>
          <w:bCs w:val="0"/>
          <w:color w:val="000000" w:themeColor="text1"/>
          <w:sz w:val="21"/>
          <w:szCs w:val="21"/>
        </w:rPr>
      </w:pPr>
      <w:r>
        <w:rPr>
          <w:rFonts w:hint="eastAsia" w:ascii="宋体" w:hAnsi="宋体"/>
          <w:bCs w:val="0"/>
          <w:color w:val="000000" w:themeColor="text1"/>
          <w:sz w:val="21"/>
          <w:szCs w:val="21"/>
        </w:rPr>
        <w:t>面向学科：</w:t>
      </w:r>
      <w:r>
        <w:rPr>
          <w:rFonts w:hint="eastAsia" w:ascii="Times New Roman" w:hAnsi="Times New Roman" w:eastAsia="宋体" w:cs="Times New Roman"/>
          <w:b w:val="0"/>
          <w:bCs w:val="0"/>
          <w:color w:val="000000" w:themeColor="text1"/>
          <w:sz w:val="21"/>
          <w:szCs w:val="21"/>
        </w:rPr>
        <w:t>汉语国际教育硕士</w:t>
      </w:r>
    </w:p>
    <w:p>
      <w:pPr>
        <w:pStyle w:val="62"/>
        <w:spacing w:line="360" w:lineRule="auto"/>
        <w:ind w:firstLine="422"/>
        <w:rPr>
          <w:rFonts w:ascii="宋体" w:hAnsi="宋体" w:eastAsia="宋体"/>
          <w:b/>
          <w:bCs/>
          <w:color w:val="000000" w:themeColor="text1"/>
          <w:szCs w:val="24"/>
        </w:rPr>
      </w:pPr>
      <w:r>
        <w:rPr>
          <w:rFonts w:hint="eastAsia" w:ascii="宋体" w:hAnsi="宋体" w:eastAsia="宋体"/>
          <w:b/>
          <w:bCs/>
          <w:color w:val="000000" w:themeColor="text1"/>
          <w:sz w:val="21"/>
          <w:szCs w:val="21"/>
        </w:rPr>
        <w:t xml:space="preserve"> </w:t>
      </w:r>
      <w:r>
        <w:rPr>
          <w:rFonts w:hint="eastAsia" w:ascii="宋体" w:hAnsi="宋体" w:eastAsia="宋体"/>
          <w:b/>
          <w:bCs/>
          <w:color w:val="000000" w:themeColor="text1"/>
          <w:szCs w:val="24"/>
        </w:rPr>
        <w:t>一、课程的性质、目的和任务</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第二语言习得》为汉语国际教育专业硕士学位研究生的核心课程，讲授第二语言习得的基本理论和基本方法。通过本课程的教学，使学生系统了解第二语言习得理论和研究方法，了解第二语言习得的研究简史，从宏观和微观两个角度把握第二语言习得的各种理论和研究方法及其在对外汉语教学中的应用，以提高学生对外汉语教学的理论水平和实践能力，同时，培养学生观察和发现值得研究的问题并付诸研究的能力，为以后从事相关工作和研究打好基础。</w:t>
      </w:r>
    </w:p>
    <w:p>
      <w:pPr>
        <w:pStyle w:val="63"/>
        <w:spacing w:line="360" w:lineRule="auto"/>
        <w:rPr>
          <w:rFonts w:ascii="宋体" w:hAnsi="宋体" w:eastAsia="宋体"/>
          <w:bCs w:val="0"/>
          <w:color w:val="000000" w:themeColor="text1"/>
          <w:szCs w:val="24"/>
        </w:rPr>
      </w:pPr>
      <w:r>
        <w:rPr>
          <w:rFonts w:hint="eastAsia" w:ascii="宋体" w:hAnsi="宋体" w:eastAsia="宋体"/>
          <w:bCs w:val="0"/>
          <w:color w:val="000000" w:themeColor="text1"/>
          <w:szCs w:val="24"/>
        </w:rPr>
        <w:t>二、教学内容及教学基本要求</w:t>
      </w:r>
    </w:p>
    <w:p>
      <w:pPr>
        <w:pStyle w:val="63"/>
        <w:spacing w:line="240" w:lineRule="atLeast"/>
        <w:ind w:firstLine="0" w:firstLineChars="0"/>
        <w:rPr>
          <w:rFonts w:ascii="黑体" w:hAnsi="黑体" w:eastAsia="黑体" w:cs="黑体"/>
          <w:bCs w:val="0"/>
          <w:color w:val="000000" w:themeColor="text1"/>
          <w:sz w:val="28"/>
          <w:szCs w:val="28"/>
        </w:rPr>
      </w:pPr>
      <w:r>
        <w:rPr>
          <w:rFonts w:hint="eastAsia" w:ascii="黑体" w:hAnsi="黑体" w:eastAsia="黑体" w:cs="黑体"/>
          <w:bCs w:val="0"/>
          <w:color w:val="000000" w:themeColor="text1"/>
          <w:sz w:val="28"/>
          <w:szCs w:val="28"/>
        </w:rPr>
        <w:t xml:space="preserve">   </w:t>
      </w:r>
      <w:r>
        <w:rPr>
          <w:rFonts w:hint="eastAsia" w:ascii="宋体" w:hAnsi="宋体" w:eastAsia="宋体"/>
          <w:bCs w:val="0"/>
          <w:color w:val="000000" w:themeColor="text1"/>
          <w:sz w:val="28"/>
          <w:szCs w:val="28"/>
        </w:rPr>
        <w:t xml:space="preserve"> </w:t>
      </w:r>
      <w:r>
        <w:rPr>
          <w:rFonts w:hint="eastAsia" w:ascii="黑体" w:hAnsi="黑体" w:eastAsia="黑体" w:cs="黑体"/>
          <w:bCs w:val="0"/>
          <w:color w:val="000000" w:themeColor="text1"/>
          <w:szCs w:val="24"/>
        </w:rPr>
        <w:t>第一章  导论</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第二语言习得研究</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定义</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语言的本质</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非母语者知识的本质</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讨论</w:t>
      </w:r>
    </w:p>
    <w:p>
      <w:pPr>
        <w:pStyle w:val="63"/>
        <w:spacing w:line="240" w:lineRule="atLeast"/>
        <w:rPr>
          <w:rFonts w:ascii="黑体" w:hAnsi="黑体" w:eastAsia="黑体" w:cs="黑体"/>
          <w:bCs w:val="0"/>
          <w:color w:val="000000" w:themeColor="text1"/>
          <w:szCs w:val="24"/>
        </w:rPr>
      </w:pPr>
      <w:r>
        <w:rPr>
          <w:rFonts w:hint="eastAsia" w:ascii="黑体" w:hAnsi="黑体" w:eastAsia="黑体" w:cs="黑体"/>
          <w:bCs w:val="0"/>
          <w:color w:val="000000" w:themeColor="text1"/>
          <w:szCs w:val="24"/>
        </w:rPr>
        <w:t>第二章  相关学科</w:t>
      </w:r>
    </w:p>
    <w:p>
      <w:pPr>
        <w:pStyle w:val="63"/>
        <w:spacing w:line="240" w:lineRule="atLeast"/>
        <w:ind w:firstLine="480"/>
        <w:rPr>
          <w:rFonts w:ascii="宋体" w:hAnsi="宋体"/>
          <w:b w:val="0"/>
          <w:color w:val="000000" w:themeColor="text1"/>
          <w:szCs w:val="24"/>
        </w:rPr>
      </w:pPr>
      <w:r>
        <w:rPr>
          <w:rFonts w:hint="eastAsia" w:ascii="宋体" w:hAnsi="宋体"/>
          <w:b w:val="0"/>
          <w:color w:val="000000" w:themeColor="text1"/>
          <w:szCs w:val="24"/>
        </w:rPr>
        <w:t>第一节  语音系统</w:t>
      </w:r>
    </w:p>
    <w:p>
      <w:pPr>
        <w:pStyle w:val="63"/>
        <w:spacing w:line="240" w:lineRule="atLeast"/>
        <w:ind w:firstLine="480"/>
        <w:rPr>
          <w:rFonts w:ascii="宋体" w:hAnsi="宋体"/>
          <w:b w:val="0"/>
          <w:color w:val="000000" w:themeColor="text1"/>
          <w:szCs w:val="24"/>
        </w:rPr>
      </w:pPr>
      <w:r>
        <w:rPr>
          <w:rFonts w:hint="eastAsia" w:ascii="宋体" w:hAnsi="宋体"/>
          <w:b w:val="0"/>
          <w:color w:val="000000" w:themeColor="text1"/>
          <w:szCs w:val="24"/>
        </w:rPr>
        <w:t>第二节  句法</w:t>
      </w:r>
    </w:p>
    <w:p>
      <w:pPr>
        <w:pStyle w:val="63"/>
        <w:spacing w:line="240" w:lineRule="atLeast"/>
        <w:ind w:firstLine="480"/>
        <w:rPr>
          <w:rFonts w:ascii="宋体" w:hAnsi="宋体"/>
          <w:b w:val="0"/>
          <w:color w:val="000000" w:themeColor="text1"/>
          <w:szCs w:val="24"/>
        </w:rPr>
      </w:pPr>
      <w:r>
        <w:rPr>
          <w:rFonts w:hint="eastAsia" w:ascii="宋体" w:hAnsi="宋体"/>
          <w:b w:val="0"/>
          <w:color w:val="000000" w:themeColor="text1"/>
          <w:szCs w:val="24"/>
        </w:rPr>
        <w:t>第三节  形态学与词汇</w:t>
      </w:r>
    </w:p>
    <w:p>
      <w:pPr>
        <w:pStyle w:val="63"/>
        <w:spacing w:line="240" w:lineRule="atLeast"/>
        <w:ind w:firstLine="480"/>
        <w:rPr>
          <w:rFonts w:ascii="宋体" w:hAnsi="宋体"/>
          <w:b w:val="0"/>
          <w:color w:val="000000" w:themeColor="text1"/>
          <w:szCs w:val="24"/>
        </w:rPr>
      </w:pPr>
      <w:r>
        <w:rPr>
          <w:rFonts w:hint="eastAsia" w:ascii="宋体" w:hAnsi="宋体"/>
          <w:b w:val="0"/>
          <w:color w:val="000000" w:themeColor="text1"/>
          <w:szCs w:val="24"/>
        </w:rPr>
        <w:t>第四节  语义学</w:t>
      </w:r>
    </w:p>
    <w:p>
      <w:pPr>
        <w:pStyle w:val="63"/>
        <w:spacing w:line="240" w:lineRule="atLeast"/>
        <w:ind w:firstLine="480"/>
        <w:rPr>
          <w:rFonts w:ascii="宋体" w:hAnsi="宋体"/>
          <w:b w:val="0"/>
          <w:color w:val="000000" w:themeColor="text1"/>
          <w:szCs w:val="24"/>
        </w:rPr>
      </w:pPr>
      <w:r>
        <w:rPr>
          <w:rFonts w:hint="eastAsia" w:ascii="宋体" w:hAnsi="宋体"/>
          <w:b w:val="0"/>
          <w:color w:val="000000" w:themeColor="text1"/>
          <w:szCs w:val="24"/>
        </w:rPr>
        <w:t>第五节  语用学</w:t>
      </w:r>
    </w:p>
    <w:p>
      <w:pPr>
        <w:pStyle w:val="63"/>
        <w:spacing w:line="240" w:lineRule="atLeast"/>
        <w:rPr>
          <w:rFonts w:ascii="黑体" w:hAnsi="黑体" w:eastAsia="黑体" w:cs="黑体"/>
          <w:bCs w:val="0"/>
          <w:color w:val="000000" w:themeColor="text1"/>
          <w:szCs w:val="24"/>
        </w:rPr>
      </w:pPr>
      <w:r>
        <w:rPr>
          <w:rFonts w:hint="eastAsia" w:ascii="黑体" w:hAnsi="黑体" w:eastAsia="黑体" w:cs="黑体"/>
          <w:bCs w:val="0"/>
          <w:color w:val="000000" w:themeColor="text1"/>
          <w:szCs w:val="24"/>
        </w:rPr>
        <w:t>第三章  第二语言与外语语料</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语料分析</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语料分析不能揭示什么？</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语料收集</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语料分析问题</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何为习得？</w:t>
      </w:r>
    </w:p>
    <w:p>
      <w:pPr>
        <w:spacing w:line="240" w:lineRule="atLeast"/>
        <w:rPr>
          <w:rFonts w:ascii="黑体" w:hAnsi="黑体" w:eastAsia="黑体" w:cs="黑体"/>
          <w:b/>
          <w:color w:val="000000" w:themeColor="text1"/>
          <w:sz w:val="24"/>
        </w:rPr>
      </w:pPr>
      <w:r>
        <w:rPr>
          <w:rFonts w:hint="eastAsia" w:ascii="黑体" w:hAnsi="黑体" w:eastAsia="黑体" w:cs="黑体"/>
          <w:b/>
          <w:color w:val="000000" w:themeColor="text1"/>
          <w:sz w:val="28"/>
          <w:szCs w:val="28"/>
        </w:rPr>
        <w:t xml:space="preserve">   </w:t>
      </w:r>
      <w:r>
        <w:rPr>
          <w:rFonts w:hint="eastAsia" w:ascii="黑体" w:hAnsi="黑体" w:eastAsia="黑体" w:cs="黑体"/>
          <w:b/>
          <w:color w:val="000000" w:themeColor="text1"/>
          <w:sz w:val="24"/>
        </w:rPr>
        <w:t xml:space="preserve"> 第四章  </w:t>
      </w:r>
      <w:r>
        <w:rPr>
          <w:rFonts w:hint="eastAsia" w:ascii="黑体" w:hAnsi="黑体" w:eastAsia="黑体" w:cs="黑体"/>
          <w:b/>
          <w:color w:val="000000" w:themeColor="text1"/>
          <w:sz w:val="24"/>
          <w:shd w:val="clear" w:color="auto" w:fill="FFFFFF"/>
        </w:rPr>
        <w:t>本族语作用的历史回顾</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历史视角</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对比分析假说</w:t>
      </w:r>
    </w:p>
    <w:p>
      <w:pPr>
        <w:pStyle w:val="63"/>
        <w:spacing w:line="240" w:lineRule="atLeast"/>
        <w:ind w:firstLine="420"/>
        <w:rPr>
          <w:rFonts w:ascii="楷体_GB2312" w:hAnsi="楷体_GB2312" w:eastAsia="楷体_GB2312" w:cs="楷体_GB2312"/>
          <w:bCs w:val="0"/>
          <w:color w:val="000000" w:themeColor="text1"/>
          <w:szCs w:val="24"/>
        </w:rPr>
      </w:pPr>
      <w:r>
        <w:rPr>
          <w:rFonts w:hint="eastAsia" w:ascii="宋体" w:hAnsi="宋体"/>
          <w:b w:val="0"/>
          <w:color w:val="000000" w:themeColor="text1"/>
          <w:sz w:val="21"/>
          <w:szCs w:val="21"/>
        </w:rPr>
        <w:t>第三节  偏误分析</w:t>
      </w:r>
    </w:p>
    <w:p>
      <w:pPr>
        <w:pStyle w:val="63"/>
        <w:spacing w:line="240" w:lineRule="atLeast"/>
        <w:ind w:firstLine="0" w:firstLineChars="0"/>
        <w:rPr>
          <w:rFonts w:ascii="黑体" w:hAnsi="黑体" w:eastAsia="黑体" w:cs="黑体"/>
          <w:b w:val="0"/>
          <w:color w:val="000000" w:themeColor="text1"/>
          <w:szCs w:val="24"/>
        </w:rPr>
      </w:pPr>
      <w:r>
        <w:rPr>
          <w:rFonts w:hint="eastAsia" w:ascii="黑体" w:hAnsi="黑体" w:eastAsia="黑体" w:cs="黑体"/>
          <w:bCs w:val="0"/>
          <w:color w:val="000000" w:themeColor="text1"/>
          <w:sz w:val="28"/>
          <w:szCs w:val="28"/>
        </w:rPr>
        <w:t xml:space="preserve">    </w:t>
      </w:r>
      <w:r>
        <w:rPr>
          <w:rFonts w:hint="eastAsia" w:ascii="黑体" w:hAnsi="黑体" w:eastAsia="黑体" w:cs="黑体"/>
          <w:bCs w:val="0"/>
          <w:color w:val="000000" w:themeColor="text1"/>
          <w:szCs w:val="24"/>
        </w:rPr>
        <w:t xml:space="preserve">第五章  </w:t>
      </w:r>
      <w:r>
        <w:rPr>
          <w:rFonts w:hint="eastAsia" w:ascii="黑体" w:hAnsi="黑体" w:eastAsia="黑体" w:cs="黑体"/>
          <w:bCs w:val="0"/>
          <w:color w:val="000000" w:themeColor="text1"/>
          <w:szCs w:val="24"/>
          <w:shd w:val="clear" w:color="auto" w:fill="FFFFFF"/>
        </w:rPr>
        <w:t>相关已知语言作用的新近视角</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语素顺序研究</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母语作用的修正视角</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语言迁移</w:t>
      </w:r>
    </w:p>
    <w:p>
      <w:pPr>
        <w:pStyle w:val="63"/>
        <w:spacing w:line="240" w:lineRule="atLeast"/>
        <w:ind w:firstLine="0" w:firstLineChars="0"/>
        <w:rPr>
          <w:rFonts w:ascii="黑体" w:hAnsi="黑体" w:eastAsia="黑体" w:cs="黑体"/>
          <w:bCs w:val="0"/>
          <w:color w:val="000000" w:themeColor="text1"/>
          <w:sz w:val="28"/>
          <w:szCs w:val="28"/>
        </w:rPr>
      </w:pPr>
      <w:r>
        <w:rPr>
          <w:rFonts w:hint="eastAsia" w:ascii="黑体" w:hAnsi="黑体" w:eastAsia="黑体" w:cs="黑体"/>
          <w:bCs w:val="0"/>
          <w:color w:val="000000" w:themeColor="text1"/>
          <w:sz w:val="28"/>
          <w:szCs w:val="28"/>
        </w:rPr>
        <w:t xml:space="preserve">  </w:t>
      </w:r>
      <w:r>
        <w:rPr>
          <w:rFonts w:hint="eastAsia" w:ascii="黑体" w:hAnsi="黑体" w:eastAsia="黑体" w:cs="黑体"/>
          <w:b w:val="0"/>
          <w:color w:val="000000" w:themeColor="text1"/>
          <w:sz w:val="28"/>
          <w:szCs w:val="28"/>
        </w:rPr>
        <w:t xml:space="preserve">  </w:t>
      </w:r>
      <w:r>
        <w:rPr>
          <w:rFonts w:hint="eastAsia" w:ascii="黑体" w:hAnsi="黑体" w:eastAsia="黑体" w:cs="黑体"/>
          <w:b w:val="0"/>
          <w:color w:val="000000" w:themeColor="text1"/>
          <w:szCs w:val="24"/>
        </w:rPr>
        <w:t xml:space="preserve">第六章  </w:t>
      </w:r>
      <w:r>
        <w:rPr>
          <w:rFonts w:hint="eastAsia" w:ascii="黑体" w:hAnsi="黑体" w:eastAsia="黑体" w:cs="黑体"/>
          <w:b w:val="0"/>
          <w:color w:val="000000" w:themeColor="text1"/>
          <w:szCs w:val="24"/>
          <w:shd w:val="clear" w:color="auto" w:fill="FFFFFF"/>
        </w:rPr>
        <w:t>二语习得的语言学视角</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语言普遍性</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类型普遍性</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时制与时体</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普遍语法</w:t>
      </w:r>
    </w:p>
    <w:p>
      <w:pPr>
        <w:spacing w:line="240" w:lineRule="atLeast"/>
        <w:rPr>
          <w:rFonts w:ascii="黑体" w:hAnsi="黑体" w:eastAsia="黑体" w:cs="黑体"/>
          <w:bCs/>
          <w:color w:val="000000" w:themeColor="text1"/>
          <w:sz w:val="24"/>
        </w:rPr>
      </w:pPr>
      <w:r>
        <w:rPr>
          <w:rFonts w:hint="eastAsia" w:ascii="黑体" w:hAnsi="黑体" w:eastAsia="黑体" w:cs="黑体"/>
          <w:b/>
          <w:color w:val="000000" w:themeColor="text1"/>
          <w:sz w:val="28"/>
          <w:szCs w:val="28"/>
        </w:rPr>
        <w:t xml:space="preserve">    </w:t>
      </w:r>
      <w:r>
        <w:rPr>
          <w:rFonts w:hint="eastAsia" w:ascii="黑体" w:hAnsi="黑体" w:eastAsia="黑体" w:cs="黑体"/>
          <w:b/>
          <w:color w:val="000000" w:themeColor="text1"/>
          <w:sz w:val="24"/>
        </w:rPr>
        <w:t xml:space="preserve">第七章  </w:t>
      </w:r>
      <w:r>
        <w:rPr>
          <w:rFonts w:hint="eastAsia" w:ascii="黑体" w:hAnsi="黑体" w:eastAsia="黑体" w:cs="黑体"/>
          <w:b/>
          <w:color w:val="000000" w:themeColor="text1"/>
          <w:sz w:val="24"/>
          <w:shd w:val="clear" w:color="auto" w:fill="FFFFFF"/>
        </w:rPr>
        <w:t>中介语的加工过程</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竞争模式</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监控模式</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监控模式评论</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知识表达的可选方式</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连接主义</w:t>
      </w:r>
    </w:p>
    <w:p>
      <w:pPr>
        <w:spacing w:line="240" w:lineRule="atLeast"/>
        <w:rPr>
          <w:rFonts w:ascii="黑体" w:hAnsi="黑体" w:eastAsia="黑体" w:cs="黑体"/>
          <w:b/>
          <w:bCs/>
          <w:color w:val="000000" w:themeColor="text1"/>
          <w:sz w:val="24"/>
          <w:shd w:val="clear" w:color="auto" w:fill="FFFFFF"/>
        </w:rPr>
      </w:pPr>
      <w:r>
        <w:rPr>
          <w:rFonts w:hint="eastAsia" w:ascii="黑体" w:hAnsi="黑体" w:eastAsia="黑体" w:cs="黑体"/>
          <w:b/>
          <w:bCs/>
          <w:color w:val="000000" w:themeColor="text1"/>
          <w:sz w:val="30"/>
          <w:szCs w:val="30"/>
          <w:shd w:val="clear" w:color="auto" w:fill="FFFFFF"/>
        </w:rPr>
        <w:t xml:space="preserve">   </w:t>
      </w:r>
      <w:r>
        <w:rPr>
          <w:rFonts w:hint="eastAsia" w:ascii="黑体" w:hAnsi="黑体" w:eastAsia="黑体" w:cs="黑体"/>
          <w:b/>
          <w:bCs/>
          <w:color w:val="000000" w:themeColor="text1"/>
          <w:sz w:val="24"/>
          <w:shd w:val="clear" w:color="auto" w:fill="FFFFFF"/>
        </w:rPr>
        <w:t xml:space="preserve"> 第八章 语境中的中介语</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变体</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系统性变体</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交际策略</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中介语语用学</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第二语言习得和其他原则</w:t>
      </w:r>
    </w:p>
    <w:p>
      <w:pPr>
        <w:pStyle w:val="63"/>
        <w:spacing w:line="240" w:lineRule="atLeast"/>
        <w:rPr>
          <w:rFonts w:ascii="楷体_GB2312" w:hAnsi="楷体_GB2312" w:eastAsia="楷体_GB2312" w:cs="楷体_GB2312"/>
          <w:bCs w:val="0"/>
          <w:color w:val="000000" w:themeColor="text1"/>
          <w:szCs w:val="24"/>
        </w:rPr>
      </w:pPr>
      <w:r>
        <w:rPr>
          <w:rFonts w:hint="eastAsia" w:ascii="黑体" w:hAnsi="黑体" w:eastAsia="黑体" w:cs="黑体"/>
          <w:bCs w:val="0"/>
          <w:color w:val="000000" w:themeColor="text1"/>
          <w:szCs w:val="24"/>
        </w:rPr>
        <w:t>第九章 输入、互动与输出</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输入</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理解</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互动</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输出</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输入与语言学习互动</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第六节  输入的局限</w:t>
      </w:r>
    </w:p>
    <w:p>
      <w:pPr>
        <w:pStyle w:val="63"/>
        <w:spacing w:line="240" w:lineRule="atLeast"/>
        <w:rPr>
          <w:rFonts w:ascii="黑体" w:hAnsi="黑体" w:eastAsia="黑体" w:cs="黑体"/>
          <w:bCs w:val="0"/>
          <w:color w:val="000000" w:themeColor="text1"/>
          <w:szCs w:val="24"/>
        </w:rPr>
      </w:pPr>
      <w:r>
        <w:rPr>
          <w:rFonts w:hint="eastAsia" w:ascii="黑体" w:hAnsi="黑体" w:eastAsia="黑体" w:cs="黑体"/>
          <w:bCs w:val="0"/>
          <w:color w:val="000000" w:themeColor="text1"/>
          <w:szCs w:val="24"/>
        </w:rPr>
        <w:t>第十章  第二语言教学研究</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课堂语言</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输入加工</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可教性与可学性</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聚焦形式</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指导性学习的独特性</w:t>
      </w:r>
    </w:p>
    <w:p>
      <w:pPr>
        <w:pStyle w:val="63"/>
        <w:spacing w:line="240" w:lineRule="atLeast"/>
        <w:rPr>
          <w:rFonts w:ascii="楷体_GB2312" w:hAnsi="楷体_GB2312" w:eastAsia="楷体_GB2312" w:cs="楷体_GB2312"/>
          <w:bCs w:val="0"/>
          <w:color w:val="000000" w:themeColor="text1"/>
          <w:szCs w:val="24"/>
        </w:rPr>
      </w:pPr>
      <w:r>
        <w:rPr>
          <w:rFonts w:hint="eastAsia" w:ascii="黑体" w:hAnsi="黑体" w:eastAsia="黑体" w:cs="黑体"/>
          <w:bCs w:val="0"/>
          <w:color w:val="000000" w:themeColor="text1"/>
          <w:szCs w:val="24"/>
        </w:rPr>
        <w:t>第十一章 语言之外</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第一节  研究传统</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第二节  社会距离</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第三节  年龄差异</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第四节  态度</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第五节  动机</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第六节  焦虑</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第七节  性格因素</w:t>
      </w:r>
    </w:p>
    <w:p>
      <w:pPr>
        <w:pStyle w:val="63"/>
        <w:spacing w:line="240" w:lineRule="atLeast"/>
        <w:ind w:firstLine="420"/>
        <w:rPr>
          <w:rFonts w:ascii="宋体" w:hAnsi="宋体"/>
          <w:b w:val="0"/>
          <w:color w:val="000000" w:themeColor="text1"/>
          <w:sz w:val="21"/>
          <w:szCs w:val="21"/>
          <w:shd w:val="clear" w:color="auto" w:fill="FFFFFF"/>
        </w:rPr>
      </w:pPr>
      <w:r>
        <w:rPr>
          <w:rFonts w:hint="eastAsia" w:ascii="宋体" w:hAnsi="宋体"/>
          <w:b w:val="0"/>
          <w:color w:val="000000" w:themeColor="text1"/>
          <w:sz w:val="21"/>
          <w:szCs w:val="21"/>
        </w:rPr>
        <w:t>第八节  学习策略</w:t>
      </w:r>
    </w:p>
    <w:p>
      <w:pPr>
        <w:spacing w:line="240" w:lineRule="atLeast"/>
        <w:rPr>
          <w:rFonts w:ascii="黑体" w:hAnsi="黑体" w:eastAsia="黑体" w:cs="黑体"/>
          <w:color w:val="000000" w:themeColor="text1"/>
          <w:sz w:val="24"/>
          <w:shd w:val="clear" w:color="auto" w:fill="FFFFFF"/>
        </w:rPr>
      </w:pPr>
      <w:r>
        <w:rPr>
          <w:rFonts w:hint="eastAsia" w:ascii="黑体" w:hAnsi="黑体" w:eastAsia="黑体" w:cs="黑体"/>
          <w:color w:val="000000" w:themeColor="text1"/>
          <w:sz w:val="24"/>
          <w:shd w:val="clear" w:color="auto" w:fill="FFFFFF"/>
        </w:rPr>
        <w:t xml:space="preserve">   </w:t>
      </w:r>
      <w:r>
        <w:rPr>
          <w:rFonts w:hint="eastAsia" w:ascii="黑体" w:hAnsi="黑体" w:eastAsia="黑体" w:cs="黑体"/>
          <w:b/>
          <w:bCs/>
          <w:color w:val="000000" w:themeColor="text1"/>
          <w:sz w:val="24"/>
          <w:shd w:val="clear" w:color="auto" w:fill="FFFFFF"/>
        </w:rPr>
        <w:t xml:space="preserve"> 第十二章 第二语言习得整合观</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 xml:space="preserve"> 第一节  感知输入</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 xml:space="preserve"> 第二节  综合输入</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 xml:space="preserve"> 第三节  吸收</w:t>
      </w:r>
    </w:p>
    <w:p>
      <w:pPr>
        <w:pStyle w:val="63"/>
        <w:spacing w:line="240" w:lineRule="atLeast"/>
        <w:ind w:firstLine="420"/>
        <w:rPr>
          <w:rFonts w:ascii="宋体" w:hAnsi="宋体"/>
          <w:b w:val="0"/>
          <w:color w:val="000000" w:themeColor="text1"/>
          <w:sz w:val="21"/>
          <w:szCs w:val="21"/>
        </w:rPr>
      </w:pPr>
      <w:r>
        <w:rPr>
          <w:rFonts w:hint="eastAsia" w:ascii="宋体" w:hAnsi="宋体"/>
          <w:b w:val="0"/>
          <w:color w:val="000000" w:themeColor="text1"/>
          <w:sz w:val="21"/>
          <w:szCs w:val="21"/>
        </w:rPr>
        <w:t xml:space="preserve"> 第四节  整合</w:t>
      </w:r>
    </w:p>
    <w:p>
      <w:pPr>
        <w:pStyle w:val="63"/>
        <w:spacing w:line="240" w:lineRule="atLeast"/>
        <w:ind w:firstLine="420"/>
        <w:rPr>
          <w:rFonts w:ascii="楷体_GB2312" w:hAnsi="楷体_GB2312" w:eastAsia="楷体_GB2312" w:cs="楷体_GB2312"/>
          <w:b w:val="0"/>
          <w:color w:val="000000" w:themeColor="text1"/>
          <w:szCs w:val="24"/>
        </w:rPr>
      </w:pPr>
      <w:r>
        <w:rPr>
          <w:rFonts w:hint="eastAsia" w:ascii="宋体" w:hAnsi="宋体"/>
          <w:b w:val="0"/>
          <w:color w:val="000000" w:themeColor="text1"/>
          <w:sz w:val="21"/>
          <w:szCs w:val="21"/>
        </w:rPr>
        <w:t xml:space="preserve"> 第五节  输出</w:t>
      </w:r>
    </w:p>
    <w:p>
      <w:pPr>
        <w:pStyle w:val="63"/>
        <w:spacing w:line="360" w:lineRule="auto"/>
        <w:rPr>
          <w:rFonts w:ascii="宋体" w:hAnsi="宋体" w:eastAsia="宋体"/>
          <w:bCs w:val="0"/>
          <w:color w:val="000000" w:themeColor="text1"/>
          <w:szCs w:val="24"/>
        </w:rPr>
      </w:pPr>
    </w:p>
    <w:p>
      <w:pPr>
        <w:pStyle w:val="63"/>
        <w:spacing w:line="360" w:lineRule="auto"/>
        <w:rPr>
          <w:rFonts w:ascii="宋体" w:hAnsi="宋体" w:eastAsia="宋体"/>
          <w:bCs w:val="0"/>
          <w:color w:val="000000" w:themeColor="text1"/>
          <w:szCs w:val="24"/>
        </w:rPr>
      </w:pPr>
      <w:r>
        <w:rPr>
          <w:rFonts w:hint="eastAsia" w:ascii="宋体" w:hAnsi="宋体" w:eastAsia="宋体"/>
          <w:bCs w:val="0"/>
          <w:color w:val="000000" w:themeColor="text1"/>
          <w:szCs w:val="24"/>
        </w:rPr>
        <w:t>三、学时分配表</w:t>
      </w:r>
    </w:p>
    <w:tbl>
      <w:tblPr>
        <w:tblStyle w:val="30"/>
        <w:tblW w:w="896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4665"/>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226" w:type="dxa"/>
            <w:vAlign w:val="center"/>
          </w:tcPr>
          <w:p>
            <w:pPr>
              <w:widowControl/>
              <w:spacing w:line="360" w:lineRule="auto"/>
              <w:jc w:val="center"/>
              <w:rPr>
                <w:rFonts w:ascii="宋体" w:hAnsi="宋体" w:cs="宋体"/>
                <w:bCs/>
                <w:color w:val="000000" w:themeColor="text1"/>
                <w:kern w:val="0"/>
                <w:szCs w:val="21"/>
              </w:rPr>
            </w:pPr>
            <w:r>
              <w:rPr>
                <w:rFonts w:hint="eastAsia" w:ascii="宋体" w:hAnsi="宋体" w:cs="宋体"/>
                <w:bCs/>
                <w:color w:val="000000" w:themeColor="text1"/>
                <w:kern w:val="0"/>
                <w:szCs w:val="21"/>
              </w:rPr>
              <w:t>序号</w:t>
            </w:r>
          </w:p>
        </w:tc>
        <w:tc>
          <w:tcPr>
            <w:tcW w:w="4665" w:type="dxa"/>
            <w:vAlign w:val="center"/>
          </w:tcPr>
          <w:p>
            <w:pPr>
              <w:widowControl/>
              <w:spacing w:line="360" w:lineRule="auto"/>
              <w:jc w:val="center"/>
              <w:rPr>
                <w:rFonts w:ascii="宋体" w:hAnsi="宋体" w:cs="宋体"/>
                <w:bCs/>
                <w:color w:val="000000" w:themeColor="text1"/>
                <w:kern w:val="0"/>
                <w:szCs w:val="21"/>
              </w:rPr>
            </w:pPr>
            <w:r>
              <w:rPr>
                <w:rFonts w:hint="eastAsia" w:ascii="宋体" w:hAnsi="宋体" w:cs="宋体"/>
                <w:bCs/>
                <w:color w:val="000000" w:themeColor="text1"/>
                <w:kern w:val="0"/>
                <w:szCs w:val="21"/>
              </w:rPr>
              <w:t>课程内容</w:t>
            </w:r>
          </w:p>
        </w:tc>
        <w:tc>
          <w:tcPr>
            <w:tcW w:w="3070" w:type="dxa"/>
            <w:vAlign w:val="center"/>
          </w:tcPr>
          <w:p>
            <w:pPr>
              <w:snapToGrid w:val="0"/>
              <w:spacing w:line="360" w:lineRule="auto"/>
              <w:jc w:val="center"/>
              <w:rPr>
                <w:rFonts w:ascii="宋体" w:hAnsi="宋体" w:cs="宋体"/>
                <w:bCs/>
                <w:color w:val="000000" w:themeColor="text1"/>
                <w:szCs w:val="21"/>
              </w:rPr>
            </w:pPr>
            <w:r>
              <w:rPr>
                <w:rFonts w:hint="eastAsia" w:ascii="宋体" w:hAnsi="宋体" w:cs="宋体"/>
                <w:bCs/>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w:t>
            </w:r>
          </w:p>
        </w:tc>
        <w:tc>
          <w:tcPr>
            <w:tcW w:w="4665" w:type="dxa"/>
            <w:vAlign w:val="center"/>
          </w:tcPr>
          <w:p>
            <w:pPr>
              <w:widowControl/>
              <w:spacing w:line="360" w:lineRule="auto"/>
              <w:rPr>
                <w:bCs/>
                <w:color w:val="000000" w:themeColor="text1"/>
                <w:szCs w:val="21"/>
              </w:rPr>
            </w:pPr>
            <w:r>
              <w:rPr>
                <w:bCs/>
                <w:color w:val="000000" w:themeColor="text1"/>
                <w:szCs w:val="21"/>
              </w:rPr>
              <w:t>导论</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2</w:t>
            </w:r>
          </w:p>
        </w:tc>
        <w:tc>
          <w:tcPr>
            <w:tcW w:w="4665" w:type="dxa"/>
            <w:vAlign w:val="center"/>
          </w:tcPr>
          <w:p>
            <w:pPr>
              <w:widowControl/>
              <w:spacing w:line="360" w:lineRule="auto"/>
              <w:rPr>
                <w:bCs/>
                <w:color w:val="000000" w:themeColor="text1"/>
                <w:szCs w:val="21"/>
              </w:rPr>
            </w:pPr>
            <w:r>
              <w:rPr>
                <w:bCs/>
                <w:color w:val="000000" w:themeColor="text1"/>
                <w:szCs w:val="21"/>
              </w:rPr>
              <w:t>第二语言习得相关学科</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3</w:t>
            </w:r>
          </w:p>
        </w:tc>
        <w:tc>
          <w:tcPr>
            <w:tcW w:w="4665" w:type="dxa"/>
            <w:vAlign w:val="center"/>
          </w:tcPr>
          <w:p>
            <w:pPr>
              <w:widowControl/>
              <w:spacing w:line="360" w:lineRule="auto"/>
              <w:rPr>
                <w:bCs/>
                <w:color w:val="000000" w:themeColor="text1"/>
                <w:szCs w:val="21"/>
              </w:rPr>
            </w:pPr>
            <w:r>
              <w:rPr>
                <w:bCs/>
                <w:color w:val="000000" w:themeColor="text1"/>
                <w:szCs w:val="21"/>
              </w:rPr>
              <w:t>第二语言与外语语料</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4</w:t>
            </w:r>
          </w:p>
        </w:tc>
        <w:tc>
          <w:tcPr>
            <w:tcW w:w="4665" w:type="dxa"/>
            <w:vAlign w:val="center"/>
          </w:tcPr>
          <w:p>
            <w:pPr>
              <w:widowControl/>
              <w:spacing w:line="360" w:lineRule="auto"/>
              <w:rPr>
                <w:bCs/>
                <w:color w:val="000000" w:themeColor="text1"/>
                <w:szCs w:val="21"/>
              </w:rPr>
            </w:pPr>
            <w:r>
              <w:rPr>
                <w:bCs/>
                <w:color w:val="000000" w:themeColor="text1"/>
                <w:szCs w:val="21"/>
              </w:rPr>
              <w:t>本族语作用的历史回顾</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5</w:t>
            </w:r>
          </w:p>
        </w:tc>
        <w:tc>
          <w:tcPr>
            <w:tcW w:w="4665" w:type="dxa"/>
            <w:vAlign w:val="center"/>
          </w:tcPr>
          <w:p>
            <w:pPr>
              <w:pStyle w:val="63"/>
              <w:spacing w:line="360" w:lineRule="auto"/>
              <w:ind w:firstLine="0" w:firstLineChars="0"/>
              <w:rPr>
                <w:color w:val="000000" w:themeColor="text1"/>
                <w:szCs w:val="21"/>
              </w:rPr>
            </w:pPr>
            <w:r>
              <w:rPr>
                <w:rFonts w:cs="Times New Roman"/>
                <w:b w:val="0"/>
                <w:color w:val="000000" w:themeColor="text1"/>
                <w:sz w:val="21"/>
                <w:szCs w:val="21"/>
                <w:shd w:val="clear" w:color="auto" w:fill="FFFFFF"/>
              </w:rPr>
              <w:t>相关已知语言作用的新近视角</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6</w:t>
            </w:r>
          </w:p>
        </w:tc>
        <w:tc>
          <w:tcPr>
            <w:tcW w:w="4665" w:type="dxa"/>
            <w:vAlign w:val="center"/>
          </w:tcPr>
          <w:p>
            <w:pPr>
              <w:pStyle w:val="63"/>
              <w:spacing w:line="360" w:lineRule="auto"/>
              <w:ind w:firstLine="0" w:firstLineChars="0"/>
              <w:rPr>
                <w:rFonts w:cs="Times New Roman"/>
                <w:b w:val="0"/>
                <w:color w:val="000000" w:themeColor="text1"/>
                <w:kern w:val="0"/>
                <w:sz w:val="21"/>
                <w:szCs w:val="21"/>
              </w:rPr>
            </w:pPr>
            <w:r>
              <w:rPr>
                <w:rFonts w:cs="Times New Roman"/>
                <w:b w:val="0"/>
                <w:color w:val="000000" w:themeColor="text1"/>
                <w:sz w:val="21"/>
                <w:szCs w:val="21"/>
                <w:shd w:val="clear" w:color="auto" w:fill="FFFFFF"/>
              </w:rPr>
              <w:t>二语习得的语言学视角</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7</w:t>
            </w:r>
          </w:p>
        </w:tc>
        <w:tc>
          <w:tcPr>
            <w:tcW w:w="4665" w:type="dxa"/>
            <w:vAlign w:val="center"/>
          </w:tcPr>
          <w:p>
            <w:pPr>
              <w:widowControl/>
              <w:spacing w:line="360" w:lineRule="auto"/>
              <w:rPr>
                <w:rFonts w:cs="Times New Roman"/>
                <w:color w:val="000000" w:themeColor="text1"/>
                <w:szCs w:val="21"/>
              </w:rPr>
            </w:pPr>
            <w:r>
              <w:rPr>
                <w:bCs/>
                <w:color w:val="000000" w:themeColor="text1"/>
                <w:szCs w:val="21"/>
                <w:shd w:val="clear" w:color="auto" w:fill="FFFFFF"/>
              </w:rPr>
              <w:t>二语习得的语言学视角</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8</w:t>
            </w:r>
          </w:p>
        </w:tc>
        <w:tc>
          <w:tcPr>
            <w:tcW w:w="4665" w:type="dxa"/>
            <w:vAlign w:val="center"/>
          </w:tcPr>
          <w:p>
            <w:pPr>
              <w:spacing w:line="360" w:lineRule="auto"/>
              <w:rPr>
                <w:bCs/>
                <w:color w:val="000000" w:themeColor="text1"/>
                <w:szCs w:val="21"/>
              </w:rPr>
            </w:pPr>
            <w:r>
              <w:rPr>
                <w:bCs/>
                <w:color w:val="000000" w:themeColor="text1"/>
                <w:szCs w:val="21"/>
                <w:shd w:val="clear" w:color="auto" w:fill="FFFFFF"/>
              </w:rPr>
              <w:t>语境中的中介语</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9</w:t>
            </w:r>
          </w:p>
        </w:tc>
        <w:tc>
          <w:tcPr>
            <w:tcW w:w="4665" w:type="dxa"/>
            <w:vAlign w:val="center"/>
          </w:tcPr>
          <w:p>
            <w:pPr>
              <w:spacing w:line="360" w:lineRule="auto"/>
              <w:rPr>
                <w:bCs/>
                <w:color w:val="000000" w:themeColor="text1"/>
                <w:szCs w:val="21"/>
              </w:rPr>
            </w:pPr>
            <w:r>
              <w:rPr>
                <w:bCs/>
                <w:color w:val="000000" w:themeColor="text1"/>
                <w:szCs w:val="21"/>
                <w:shd w:val="clear" w:color="auto" w:fill="FFFFFF"/>
              </w:rPr>
              <w:t>语境中的中介语</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10</w:t>
            </w:r>
          </w:p>
        </w:tc>
        <w:tc>
          <w:tcPr>
            <w:tcW w:w="4665" w:type="dxa"/>
            <w:vAlign w:val="center"/>
          </w:tcPr>
          <w:p>
            <w:pPr>
              <w:spacing w:line="360" w:lineRule="auto"/>
              <w:rPr>
                <w:bCs/>
                <w:color w:val="000000" w:themeColor="text1"/>
                <w:szCs w:val="21"/>
              </w:rPr>
            </w:pPr>
            <w:r>
              <w:rPr>
                <w:bCs/>
                <w:color w:val="000000" w:themeColor="text1"/>
                <w:szCs w:val="21"/>
                <w:shd w:val="clear" w:color="auto" w:fill="FFFFFF"/>
              </w:rPr>
              <w:t>中介语的加工过程</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11</w:t>
            </w:r>
          </w:p>
        </w:tc>
        <w:tc>
          <w:tcPr>
            <w:tcW w:w="4665" w:type="dxa"/>
            <w:vAlign w:val="center"/>
          </w:tcPr>
          <w:p>
            <w:pPr>
              <w:spacing w:line="360" w:lineRule="auto"/>
              <w:rPr>
                <w:bCs/>
                <w:color w:val="000000" w:themeColor="text1"/>
                <w:szCs w:val="21"/>
              </w:rPr>
            </w:pPr>
            <w:r>
              <w:rPr>
                <w:bCs/>
                <w:color w:val="000000" w:themeColor="text1"/>
                <w:szCs w:val="21"/>
                <w:shd w:val="clear" w:color="auto" w:fill="FFFFFF"/>
              </w:rPr>
              <w:t>中介语的加工过程</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12</w:t>
            </w:r>
          </w:p>
        </w:tc>
        <w:tc>
          <w:tcPr>
            <w:tcW w:w="4665" w:type="dxa"/>
            <w:vAlign w:val="center"/>
          </w:tcPr>
          <w:p>
            <w:pPr>
              <w:pStyle w:val="63"/>
              <w:spacing w:line="360" w:lineRule="auto"/>
              <w:ind w:firstLine="0" w:firstLineChars="0"/>
              <w:rPr>
                <w:color w:val="000000" w:themeColor="text1"/>
                <w:szCs w:val="21"/>
              </w:rPr>
            </w:pPr>
            <w:r>
              <w:rPr>
                <w:rFonts w:cs="Times New Roman"/>
                <w:b w:val="0"/>
                <w:color w:val="000000" w:themeColor="text1"/>
                <w:sz w:val="21"/>
                <w:szCs w:val="21"/>
              </w:rPr>
              <w:t>输入、互动与输出</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13</w:t>
            </w:r>
          </w:p>
        </w:tc>
        <w:tc>
          <w:tcPr>
            <w:tcW w:w="4665" w:type="dxa"/>
            <w:vAlign w:val="center"/>
          </w:tcPr>
          <w:p>
            <w:pPr>
              <w:pStyle w:val="63"/>
              <w:spacing w:line="360" w:lineRule="auto"/>
              <w:ind w:firstLine="0" w:firstLineChars="0"/>
              <w:rPr>
                <w:rFonts w:cs="Times New Roman"/>
                <w:b w:val="0"/>
                <w:color w:val="000000" w:themeColor="text1"/>
                <w:sz w:val="21"/>
                <w:szCs w:val="21"/>
              </w:rPr>
            </w:pPr>
            <w:r>
              <w:rPr>
                <w:rFonts w:cs="Times New Roman"/>
                <w:b w:val="0"/>
                <w:color w:val="000000" w:themeColor="text1"/>
                <w:sz w:val="21"/>
                <w:szCs w:val="21"/>
              </w:rPr>
              <w:t>第二语言教学研究</w:t>
            </w:r>
          </w:p>
        </w:tc>
        <w:tc>
          <w:tcPr>
            <w:tcW w:w="3070" w:type="dxa"/>
          </w:tcPr>
          <w:p>
            <w:pPr>
              <w:widowControl/>
              <w:spacing w:line="360" w:lineRule="auto"/>
              <w:jc w:val="center"/>
              <w:rPr>
                <w:bCs/>
                <w:color w:val="000000" w:themeColor="text1"/>
                <w:kern w:val="0"/>
                <w:szCs w:val="21"/>
              </w:rPr>
            </w:pPr>
            <w:r>
              <w:rPr>
                <w:rFonts w:hint="eastAsia"/>
                <w:bCs/>
                <w:color w:val="000000" w:themeColor="text1"/>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14</w:t>
            </w:r>
          </w:p>
        </w:tc>
        <w:tc>
          <w:tcPr>
            <w:tcW w:w="4665" w:type="dxa"/>
            <w:vAlign w:val="center"/>
          </w:tcPr>
          <w:p>
            <w:pPr>
              <w:widowControl/>
              <w:spacing w:line="360" w:lineRule="auto"/>
              <w:rPr>
                <w:rFonts w:cs="Times New Roman"/>
                <w:color w:val="000000" w:themeColor="text1"/>
                <w:szCs w:val="21"/>
              </w:rPr>
            </w:pPr>
            <w:r>
              <w:rPr>
                <w:bCs/>
                <w:color w:val="000000" w:themeColor="text1"/>
                <w:szCs w:val="21"/>
              </w:rPr>
              <w:t>语言之外</w:t>
            </w:r>
          </w:p>
        </w:tc>
        <w:tc>
          <w:tcPr>
            <w:tcW w:w="3070" w:type="dxa"/>
          </w:tcPr>
          <w:p>
            <w:pPr>
              <w:widowControl/>
              <w:spacing w:line="360" w:lineRule="auto"/>
              <w:jc w:val="center"/>
              <w:rPr>
                <w:bCs/>
                <w:color w:val="000000" w:themeColor="text1"/>
                <w:kern w:val="0"/>
                <w:szCs w:val="21"/>
              </w:rPr>
            </w:pPr>
            <w:r>
              <w:rPr>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15</w:t>
            </w:r>
          </w:p>
        </w:tc>
        <w:tc>
          <w:tcPr>
            <w:tcW w:w="4665" w:type="dxa"/>
            <w:vAlign w:val="center"/>
          </w:tcPr>
          <w:p>
            <w:pPr>
              <w:spacing w:line="360" w:lineRule="auto"/>
              <w:rPr>
                <w:bCs/>
                <w:color w:val="000000" w:themeColor="text1"/>
                <w:szCs w:val="21"/>
              </w:rPr>
            </w:pPr>
            <w:r>
              <w:rPr>
                <w:bCs/>
                <w:color w:val="000000" w:themeColor="text1"/>
                <w:szCs w:val="21"/>
                <w:shd w:val="clear" w:color="auto" w:fill="FFFFFF"/>
              </w:rPr>
              <w:t>第二语言习得整合观</w:t>
            </w:r>
          </w:p>
        </w:tc>
        <w:tc>
          <w:tcPr>
            <w:tcW w:w="3070" w:type="dxa"/>
          </w:tcPr>
          <w:p>
            <w:pPr>
              <w:widowControl/>
              <w:spacing w:line="360" w:lineRule="auto"/>
              <w:jc w:val="center"/>
              <w:rPr>
                <w:bCs/>
                <w:color w:val="000000" w:themeColor="text1"/>
                <w:kern w:val="0"/>
                <w:szCs w:val="21"/>
              </w:rPr>
            </w:pPr>
            <w:r>
              <w:rPr>
                <w:rFonts w:hint="eastAsia"/>
                <w:bCs/>
                <w:color w:val="000000" w:themeColor="text1"/>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226" w:type="dxa"/>
            <w:vAlign w:val="center"/>
          </w:tcPr>
          <w:p>
            <w:pPr>
              <w:widowControl/>
              <w:spacing w:line="360" w:lineRule="auto"/>
              <w:jc w:val="center"/>
              <w:rPr>
                <w:bCs/>
                <w:color w:val="000000" w:themeColor="text1"/>
                <w:kern w:val="0"/>
                <w:szCs w:val="21"/>
              </w:rPr>
            </w:pPr>
            <w:r>
              <w:rPr>
                <w:bCs/>
                <w:color w:val="000000" w:themeColor="text1"/>
                <w:kern w:val="0"/>
                <w:szCs w:val="21"/>
              </w:rPr>
              <w:t>合计</w:t>
            </w:r>
          </w:p>
        </w:tc>
        <w:tc>
          <w:tcPr>
            <w:tcW w:w="4665" w:type="dxa"/>
            <w:vAlign w:val="center"/>
          </w:tcPr>
          <w:p>
            <w:pPr>
              <w:widowControl/>
              <w:spacing w:line="360" w:lineRule="auto"/>
              <w:rPr>
                <w:bCs/>
                <w:color w:val="000000" w:themeColor="text1"/>
                <w:kern w:val="0"/>
                <w:szCs w:val="21"/>
              </w:rPr>
            </w:pPr>
          </w:p>
        </w:tc>
        <w:tc>
          <w:tcPr>
            <w:tcW w:w="3070" w:type="dxa"/>
          </w:tcPr>
          <w:p>
            <w:pPr>
              <w:widowControl/>
              <w:spacing w:line="360" w:lineRule="auto"/>
              <w:jc w:val="center"/>
              <w:rPr>
                <w:bCs/>
                <w:color w:val="000000" w:themeColor="text1"/>
                <w:kern w:val="0"/>
                <w:szCs w:val="21"/>
              </w:rPr>
            </w:pPr>
            <w:r>
              <w:rPr>
                <w:bCs/>
                <w:color w:val="000000" w:themeColor="text1"/>
                <w:kern w:val="0"/>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ind w:firstLine="422"/>
        <w:rPr>
          <w:b/>
          <w:bCs/>
          <w:color w:val="000000" w:themeColor="text1"/>
        </w:rPr>
      </w:pPr>
      <w:r>
        <w:rPr>
          <w:b/>
          <w:bCs/>
          <w:color w:val="000000" w:themeColor="text1"/>
        </w:rPr>
        <w:t>1</w:t>
      </w:r>
      <w:r>
        <w:rPr>
          <w:rFonts w:hint="eastAsia"/>
          <w:b/>
          <w:bCs/>
          <w:color w:val="000000" w:themeColor="text1"/>
        </w:rPr>
        <w:t>．考核方式：考试（</w:t>
      </w:r>
      <w:r>
        <w:rPr>
          <w:rFonts w:ascii="Arial" w:hAnsi="Arial" w:cs="Arial"/>
          <w:b/>
          <w:bCs/>
          <w:color w:val="000000" w:themeColor="text1"/>
        </w:rPr>
        <w:t>√</w:t>
      </w:r>
      <w:r>
        <w:rPr>
          <w:rFonts w:hint="eastAsia"/>
          <w:b/>
          <w:bCs/>
          <w:color w:val="000000" w:themeColor="text1"/>
        </w:rPr>
        <w:t xml:space="preserve"> ）；考查（）</w:t>
      </w:r>
    </w:p>
    <w:p>
      <w:pPr>
        <w:pStyle w:val="64"/>
        <w:spacing w:line="360" w:lineRule="auto"/>
        <w:ind w:firstLine="422"/>
        <w:rPr>
          <w:b/>
          <w:bCs/>
          <w:color w:val="000000" w:themeColor="text1"/>
        </w:rPr>
      </w:pPr>
      <w:r>
        <w:rPr>
          <w:b/>
          <w:bCs/>
          <w:color w:val="000000" w:themeColor="text1"/>
        </w:rPr>
        <w:t>2</w:t>
      </w:r>
      <w:r>
        <w:rPr>
          <w:rFonts w:hint="eastAsia"/>
          <w:b/>
          <w:bCs/>
          <w:color w:val="000000" w:themeColor="text1"/>
        </w:rPr>
        <w:t>．成绩评定：</w:t>
      </w:r>
    </w:p>
    <w:p>
      <w:pPr>
        <w:pStyle w:val="65"/>
        <w:spacing w:line="360" w:lineRule="auto"/>
        <w:rPr>
          <w:color w:val="000000" w:themeColor="text1"/>
        </w:rPr>
      </w:pPr>
      <w:r>
        <w:rPr>
          <w:rFonts w:hint="eastAsia"/>
          <w:color w:val="000000" w:themeColor="text1"/>
        </w:rPr>
        <w:t>计分制：百分制（</w:t>
      </w:r>
      <w:r>
        <w:rPr>
          <w:rFonts w:ascii="Arial" w:hAnsi="Arial" w:cs="Arial"/>
          <w:color w:val="000000" w:themeColor="text1"/>
        </w:rPr>
        <w:t>√</w:t>
      </w:r>
      <w:r>
        <w:rPr>
          <w:rFonts w:hint="eastAsia"/>
          <w:color w:val="000000" w:themeColor="text1"/>
        </w:rPr>
        <w:t>）；五级分制（）；两级分制（）</w:t>
      </w:r>
    </w:p>
    <w:p>
      <w:pPr>
        <w:pStyle w:val="65"/>
        <w:spacing w:line="360" w:lineRule="auto"/>
        <w:rPr>
          <w:color w:val="000000" w:themeColor="text1"/>
        </w:rPr>
      </w:pPr>
      <w:r>
        <w:rPr>
          <w:rFonts w:hint="eastAsia"/>
          <w:color w:val="000000" w:themeColor="text1"/>
        </w:rPr>
        <w:t>总评成绩构成：平时考核（30）％；月度考核（）％；期末考核（70）％</w:t>
      </w:r>
    </w:p>
    <w:p>
      <w:pPr>
        <w:pStyle w:val="65"/>
        <w:spacing w:line="360" w:lineRule="auto"/>
        <w:rPr>
          <w:color w:val="000000" w:themeColor="text1"/>
        </w:rPr>
      </w:pPr>
      <w:r>
        <w:rPr>
          <w:rFonts w:hint="eastAsia"/>
          <w:color w:val="000000" w:themeColor="text1"/>
        </w:rPr>
        <w:t>平时成绩构成：考勤考纪（50）％；作业和学习态度（50）％</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napToGrid w:val="0"/>
        <w:spacing w:line="360" w:lineRule="auto"/>
        <w:ind w:firstLine="525" w:firstLineChars="250"/>
        <w:rPr>
          <w:rFonts w:eastAsia="楷体_GB2312"/>
          <w:bCs/>
          <w:color w:val="000000" w:themeColor="text1"/>
          <w:szCs w:val="21"/>
        </w:rPr>
      </w:pPr>
      <w:r>
        <w:rPr>
          <w:rFonts w:eastAsia="楷体_GB2312"/>
          <w:bCs/>
          <w:color w:val="000000" w:themeColor="text1"/>
          <w:szCs w:val="21"/>
        </w:rPr>
        <w:t xml:space="preserve">1. Susan M. Gass, Larry Selinker. 2001. </w:t>
      </w:r>
      <w:r>
        <w:rPr>
          <w:rFonts w:eastAsia="楷体_GB2312"/>
          <w:bCs/>
          <w:i/>
          <w:iCs/>
          <w:color w:val="000000" w:themeColor="text1"/>
          <w:szCs w:val="21"/>
        </w:rPr>
        <w:t>SECOND LANGUAGE ACQUISTION.</w:t>
      </w:r>
      <w:r>
        <w:rPr>
          <w:rFonts w:eastAsia="楷体_GB2312"/>
          <w:bCs/>
          <w:color w:val="000000" w:themeColor="text1"/>
          <w:szCs w:val="21"/>
        </w:rPr>
        <w:t>Lawrence Erlbaum Associates, Inc.</w:t>
      </w:r>
    </w:p>
    <w:p>
      <w:pPr>
        <w:pStyle w:val="66"/>
        <w:spacing w:line="360" w:lineRule="auto"/>
        <w:ind w:firstLine="420"/>
        <w:rPr>
          <w:rFonts w:ascii="宋体" w:hAnsi="宋体"/>
          <w:b w:val="0"/>
          <w:color w:val="000000" w:themeColor="text1"/>
          <w:szCs w:val="21"/>
        </w:rPr>
      </w:pPr>
      <w:r>
        <w:rPr>
          <w:rFonts w:eastAsia="楷体_GB2312" w:cs="Times New Roman"/>
          <w:b w:val="0"/>
          <w:color w:val="000000" w:themeColor="text1"/>
          <w:szCs w:val="21"/>
        </w:rPr>
        <w:t xml:space="preserve"> </w:t>
      </w:r>
      <w:r>
        <w:rPr>
          <w:rFonts w:cs="Times New Roman"/>
          <w:b w:val="0"/>
          <w:color w:val="000000" w:themeColor="text1"/>
          <w:szCs w:val="21"/>
        </w:rPr>
        <w:t xml:space="preserve">2. （美）盖苏珊, </w:t>
      </w:r>
      <w:r>
        <w:rPr>
          <w:rFonts w:hint="eastAsia" w:ascii="宋体" w:hAnsi="宋体"/>
          <w:b w:val="0"/>
          <w:color w:val="000000" w:themeColor="text1"/>
          <w:szCs w:val="21"/>
        </w:rPr>
        <w:t>（英）赛林格.</w:t>
      </w:r>
      <w:r>
        <w:rPr>
          <w:rFonts w:cs="Times New Roman"/>
          <w:b w:val="0"/>
          <w:color w:val="000000" w:themeColor="text1"/>
          <w:szCs w:val="21"/>
        </w:rPr>
        <w:t xml:space="preserve"> 2013. </w:t>
      </w:r>
      <w:r>
        <w:rPr>
          <w:rFonts w:hint="eastAsia" w:ascii="宋体" w:hAnsi="宋体"/>
          <w:b w:val="0"/>
          <w:color w:val="000000" w:themeColor="text1"/>
          <w:szCs w:val="21"/>
        </w:rPr>
        <w:t>《第二语言习得》，赵杨译，北京大学出版社。</w:t>
      </w:r>
    </w:p>
    <w:p>
      <w:pPr>
        <w:pStyle w:val="66"/>
        <w:spacing w:line="360" w:lineRule="auto"/>
        <w:ind w:firstLine="420"/>
        <w:rPr>
          <w:rFonts w:ascii="宋体" w:hAnsi="宋体"/>
          <w:b w:val="0"/>
          <w:color w:val="000000" w:themeColor="text1"/>
          <w:szCs w:val="21"/>
        </w:rPr>
      </w:pPr>
      <w:r>
        <w:rPr>
          <w:rFonts w:hint="eastAsia" w:ascii="宋体" w:hAnsi="宋体"/>
          <w:b w:val="0"/>
          <w:color w:val="000000" w:themeColor="text1"/>
          <w:szCs w:val="21"/>
        </w:rPr>
        <w:t>参考资料：</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本课程学生课外自主学习围绕各章教学的重点和难点展开，学生必须研读前五个年度的：</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《世界汉语教学》（北京语言大学）</w:t>
      </w:r>
      <w:r>
        <w:rPr>
          <w:rFonts w:hint="eastAsia" w:ascii="宋体" w:hAnsi="宋体" w:cs="宋体"/>
          <w:bCs/>
          <w:color w:val="000000" w:themeColor="text1"/>
          <w:szCs w:val="21"/>
        </w:rPr>
        <w:br w:type="textWrapping"/>
      </w:r>
      <w:r>
        <w:rPr>
          <w:rFonts w:hint="eastAsia" w:ascii="宋体" w:hAnsi="宋体" w:cs="宋体"/>
          <w:bCs/>
          <w:color w:val="000000" w:themeColor="text1"/>
          <w:szCs w:val="21"/>
        </w:rPr>
        <w:t xml:space="preserve">    《语言教学与研究》（北京语言大学）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《华文教学与研究》（暨南大学）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《对外汉语研究》（上海师范大学）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《国际汉语学报》（厦门大学）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《海外华文教学》（厦门大学）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《国际汉语教学研究》（北京语言大学）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《国际汉语》（中山大学）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《汉语应用语言学研究》（北京语言大学）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《国际汉语教育》（北京外国语大学）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《汉语国际传播研究》（中央民族大学）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《汉语学习》（延边大学）</w:t>
      </w:r>
    </w:p>
    <w:p>
      <w:pPr>
        <w:snapToGrid w:val="0"/>
        <w:spacing w:line="360" w:lineRule="auto"/>
        <w:ind w:firstLine="420" w:firstLineChars="200"/>
        <w:rPr>
          <w:rFonts w:ascii="宋体" w:hAnsi="宋体" w:cs="宋体"/>
          <w:bCs/>
          <w:color w:val="000000" w:themeColor="text1"/>
          <w:szCs w:val="21"/>
        </w:rPr>
      </w:pPr>
      <w:r>
        <w:rPr>
          <w:rFonts w:hint="eastAsia" w:ascii="宋体" w:hAnsi="宋体" w:cs="宋体"/>
          <w:bCs/>
          <w:color w:val="000000" w:themeColor="text1"/>
          <w:szCs w:val="21"/>
        </w:rPr>
        <w:t>完成教材分析、写作汉语语音、文字、词汇、语法等二语习得的专题小论文，拓展和巩固课堂所学内容。本课程为考试科目，根据课堂讨论内容，论述四至五个跟二语习得理论或研究方法相关的问题。</w:t>
      </w:r>
    </w:p>
    <w:p>
      <w:pPr>
        <w:pStyle w:val="69"/>
        <w:spacing w:line="360" w:lineRule="auto"/>
        <w:rPr>
          <w:color w:val="000000" w:themeColor="text1"/>
          <w:szCs w:val="21"/>
        </w:rPr>
      </w:pPr>
      <w:r>
        <w:rPr>
          <w:color w:val="000000" w:themeColor="text1"/>
        </w:rPr>
        <w:t xml:space="preserve"> </w:t>
      </w:r>
    </w:p>
    <w:p>
      <w:pPr>
        <w:pStyle w:val="64"/>
        <w:spacing w:line="360" w:lineRule="auto"/>
        <w:ind w:firstLine="0" w:firstLineChars="0"/>
        <w:rPr>
          <w:color w:val="000000" w:themeColor="text1"/>
        </w:rPr>
      </w:pPr>
    </w:p>
    <w:p>
      <w:pPr>
        <w:pStyle w:val="64"/>
        <w:spacing w:line="360" w:lineRule="auto"/>
        <w:ind w:firstLine="0" w:firstLineChars="0"/>
        <w:rPr>
          <w:color w:val="000000" w:themeColor="text1"/>
        </w:rPr>
      </w:pPr>
    </w:p>
    <w:p>
      <w:pPr>
        <w:pStyle w:val="64"/>
        <w:spacing w:line="360" w:lineRule="auto"/>
        <w:ind w:firstLine="0" w:firstLineChars="0"/>
        <w:rPr>
          <w:color w:val="000000" w:themeColor="text1"/>
        </w:rPr>
      </w:pPr>
    </w:p>
    <w:p>
      <w:pPr>
        <w:pStyle w:val="64"/>
        <w:spacing w:line="360" w:lineRule="auto"/>
        <w:ind w:firstLine="0" w:firstLineChars="0"/>
        <w:rPr>
          <w:color w:val="000000" w:themeColor="text1"/>
        </w:rPr>
      </w:pPr>
    </w:p>
    <w:p>
      <w:pPr>
        <w:pStyle w:val="64"/>
        <w:spacing w:line="360" w:lineRule="auto"/>
        <w:ind w:firstLine="0" w:firstLineChars="0"/>
        <w:rPr>
          <w:color w:val="000000" w:themeColor="text1"/>
        </w:rPr>
      </w:pPr>
    </w:p>
    <w:p>
      <w:pPr>
        <w:pStyle w:val="2"/>
        <w:spacing w:line="360" w:lineRule="auto"/>
        <w:rPr>
          <w:color w:val="000000" w:themeColor="text1"/>
          <w:sz w:val="32"/>
          <w:szCs w:val="32"/>
        </w:rPr>
      </w:pPr>
      <w:bookmarkStart w:id="34" w:name="_Toc360395419"/>
      <w:r>
        <w:rPr>
          <w:rFonts w:hint="eastAsia"/>
          <w:color w:val="000000" w:themeColor="text1"/>
          <w:sz w:val="32"/>
          <w:szCs w:val="32"/>
        </w:rPr>
        <w:br w:type="page"/>
      </w:r>
    </w:p>
    <w:p>
      <w:pPr>
        <w:adjustRightInd w:val="0"/>
        <w:snapToGrid w:val="0"/>
        <w:spacing w:line="300" w:lineRule="auto"/>
        <w:ind w:firstLine="1920" w:firstLineChars="6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spacing w:line="360" w:lineRule="auto"/>
        <w:ind w:firstLine="480"/>
        <w:jc w:val="center"/>
        <w:rPr>
          <w:b/>
          <w:color w:val="000000" w:themeColor="text1"/>
          <w:sz w:val="28"/>
          <w:szCs w:val="28"/>
        </w:rPr>
      </w:pPr>
      <w:r>
        <w:rPr>
          <w:rFonts w:hint="eastAsia"/>
          <w:b/>
          <w:color w:val="000000" w:themeColor="text1"/>
          <w:sz w:val="28"/>
          <w:szCs w:val="28"/>
        </w:rPr>
        <w:t>中华文化与传播课程教学大纲</w:t>
      </w:r>
    </w:p>
    <w:p>
      <w:pPr>
        <w:pStyle w:val="62"/>
        <w:spacing w:line="360" w:lineRule="auto"/>
        <w:ind w:firstLine="454" w:firstLineChars="0"/>
        <w:rPr>
          <w:bCs/>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rFonts w:hint="eastAsia"/>
          <w:bCs/>
          <w:color w:val="000000" w:themeColor="text1"/>
          <w:sz w:val="21"/>
          <w:szCs w:val="21"/>
        </w:rPr>
        <w:t>中华文化与传播/</w:t>
      </w:r>
      <w:r>
        <w:rPr>
          <w:bCs/>
          <w:color w:val="000000" w:themeColor="text1"/>
          <w:sz w:val="21"/>
          <w:szCs w:val="21"/>
        </w:rPr>
        <w:t>Chinese C</w:t>
      </w:r>
      <w:r>
        <w:rPr>
          <w:rFonts w:hint="eastAsia"/>
          <w:bCs/>
          <w:color w:val="000000" w:themeColor="text1"/>
          <w:sz w:val="21"/>
          <w:szCs w:val="21"/>
        </w:rPr>
        <w:t>ulture and Communication</w:t>
      </w:r>
    </w:p>
    <w:p>
      <w:pPr>
        <w:pStyle w:val="62"/>
        <w:spacing w:line="360" w:lineRule="auto"/>
        <w:ind w:firstLine="454" w:firstLineChars="0"/>
        <w:rPr>
          <w:b/>
          <w:color w:val="000000" w:themeColor="text1"/>
          <w:sz w:val="21"/>
          <w:szCs w:val="21"/>
        </w:rPr>
      </w:pPr>
      <w:r>
        <w:rPr>
          <w:rFonts w:hint="eastAsia"/>
          <w:b/>
          <w:color w:val="000000" w:themeColor="text1"/>
          <w:sz w:val="21"/>
          <w:szCs w:val="21"/>
        </w:rPr>
        <w:t>课程编号：</w:t>
      </w:r>
      <w:r>
        <w:rPr>
          <w:rFonts w:hint="eastAsia"/>
          <w:bCs/>
          <w:color w:val="000000" w:themeColor="text1"/>
          <w:sz w:val="21"/>
          <w:szCs w:val="21"/>
        </w:rPr>
        <w:t>1504532004</w:t>
      </w:r>
    </w:p>
    <w:p>
      <w:pPr>
        <w:pStyle w:val="62"/>
        <w:spacing w:line="360" w:lineRule="auto"/>
        <w:ind w:firstLine="454" w:firstLineChars="0"/>
        <w:rPr>
          <w:b/>
          <w:color w:val="000000" w:themeColor="text1"/>
          <w:sz w:val="21"/>
          <w:szCs w:val="21"/>
        </w:rPr>
      </w:pPr>
      <w:r>
        <w:rPr>
          <w:rFonts w:hint="eastAsia"/>
          <w:b/>
          <w:color w:val="000000" w:themeColor="text1"/>
          <w:sz w:val="21"/>
          <w:szCs w:val="21"/>
        </w:rPr>
        <w:t>课程类型：</w:t>
      </w:r>
      <w:r>
        <w:rPr>
          <w:rFonts w:hint="eastAsia"/>
          <w:bCs/>
          <w:color w:val="000000" w:themeColor="text1"/>
          <w:sz w:val="21"/>
          <w:szCs w:val="21"/>
        </w:rPr>
        <w:t>基础/必修</w:t>
      </w:r>
    </w:p>
    <w:p>
      <w:pPr>
        <w:pStyle w:val="62"/>
        <w:spacing w:line="360" w:lineRule="auto"/>
        <w:ind w:firstLine="454" w:firstLineChars="0"/>
        <w:rPr>
          <w:b/>
          <w:color w:val="000000" w:themeColor="text1"/>
          <w:sz w:val="21"/>
          <w:szCs w:val="21"/>
        </w:rPr>
      </w:pPr>
      <w:r>
        <w:rPr>
          <w:rFonts w:hint="eastAsia"/>
          <w:b/>
          <w:color w:val="000000" w:themeColor="text1"/>
          <w:sz w:val="21"/>
          <w:szCs w:val="21"/>
        </w:rPr>
        <w:t>总学时数：</w:t>
      </w:r>
      <w:r>
        <w:rPr>
          <w:rFonts w:hint="eastAsia"/>
          <w:bCs/>
          <w:color w:val="000000" w:themeColor="text1"/>
          <w:sz w:val="21"/>
          <w:szCs w:val="21"/>
        </w:rPr>
        <w:t>32</w:t>
      </w:r>
    </w:p>
    <w:p>
      <w:pPr>
        <w:pStyle w:val="62"/>
        <w:spacing w:line="360" w:lineRule="auto"/>
        <w:ind w:firstLine="454" w:firstLineChars="0"/>
        <w:rPr>
          <w:b/>
          <w:color w:val="000000" w:themeColor="text1"/>
          <w:sz w:val="21"/>
          <w:szCs w:val="21"/>
        </w:rPr>
      </w:pPr>
      <w:r>
        <w:rPr>
          <w:rFonts w:hint="eastAsia"/>
          <w:b/>
          <w:color w:val="000000" w:themeColor="text1"/>
          <w:sz w:val="21"/>
          <w:szCs w:val="21"/>
        </w:rPr>
        <w:t>学分：</w:t>
      </w:r>
      <w:r>
        <w:rPr>
          <w:rFonts w:hint="eastAsia"/>
          <w:bCs/>
          <w:color w:val="000000" w:themeColor="text1"/>
          <w:sz w:val="21"/>
          <w:szCs w:val="21"/>
        </w:rPr>
        <w:t>2</w:t>
      </w:r>
    </w:p>
    <w:p>
      <w:pPr>
        <w:pStyle w:val="62"/>
        <w:tabs>
          <w:tab w:val="left" w:pos="3420"/>
        </w:tabs>
        <w:spacing w:line="360" w:lineRule="auto"/>
        <w:ind w:firstLine="454" w:firstLineChars="0"/>
        <w:rPr>
          <w:b/>
          <w:color w:val="000000" w:themeColor="text1"/>
          <w:sz w:val="21"/>
          <w:szCs w:val="21"/>
        </w:rPr>
      </w:pPr>
      <w:r>
        <w:rPr>
          <w:rFonts w:hint="eastAsia"/>
          <w:b/>
          <w:color w:val="000000" w:themeColor="text1"/>
          <w:sz w:val="21"/>
          <w:szCs w:val="21"/>
        </w:rPr>
        <w:t>先修课程：</w:t>
      </w:r>
      <w:r>
        <w:rPr>
          <w:rFonts w:hint="eastAsia"/>
          <w:bCs/>
          <w:color w:val="000000" w:themeColor="text1"/>
          <w:sz w:val="21"/>
          <w:szCs w:val="21"/>
        </w:rPr>
        <w:t>无</w:t>
      </w:r>
    </w:p>
    <w:p>
      <w:pPr>
        <w:pStyle w:val="62"/>
        <w:spacing w:line="360" w:lineRule="auto"/>
        <w:ind w:firstLine="454" w:firstLineChars="0"/>
        <w:rPr>
          <w:b/>
          <w:color w:val="000000" w:themeColor="text1"/>
          <w:sz w:val="21"/>
          <w:szCs w:val="21"/>
        </w:rPr>
      </w:pPr>
      <w:r>
        <w:rPr>
          <w:rFonts w:hint="eastAsia"/>
          <w:b/>
          <w:color w:val="000000" w:themeColor="text1"/>
          <w:sz w:val="21"/>
          <w:szCs w:val="21"/>
        </w:rPr>
        <w:t>开课单位：</w:t>
      </w:r>
      <w:r>
        <w:rPr>
          <w:rFonts w:hint="eastAsia"/>
          <w:bCs/>
          <w:color w:val="000000" w:themeColor="text1"/>
          <w:sz w:val="21"/>
          <w:szCs w:val="21"/>
        </w:rPr>
        <w:t>人文与国际教育学院</w:t>
      </w:r>
    </w:p>
    <w:p>
      <w:pPr>
        <w:pStyle w:val="62"/>
        <w:spacing w:line="360" w:lineRule="auto"/>
        <w:ind w:firstLine="454" w:firstLineChars="0"/>
        <w:rPr>
          <w:b/>
          <w:color w:val="000000" w:themeColor="text1"/>
          <w:sz w:val="21"/>
          <w:szCs w:val="21"/>
        </w:rPr>
      </w:pPr>
      <w:r>
        <w:rPr>
          <w:rFonts w:hint="eastAsia"/>
          <w:b/>
          <w:color w:val="000000" w:themeColor="text1"/>
          <w:sz w:val="21"/>
          <w:szCs w:val="21"/>
        </w:rPr>
        <w:t>面向学科：</w:t>
      </w:r>
      <w:r>
        <w:rPr>
          <w:rFonts w:hint="eastAsia"/>
          <w:bCs/>
          <w:color w:val="000000" w:themeColor="text1"/>
          <w:sz w:val="21"/>
          <w:szCs w:val="21"/>
        </w:rPr>
        <w:t>汉语国际教育专业硕士</w:t>
      </w:r>
    </w:p>
    <w:p>
      <w:pPr>
        <w:pStyle w:val="63"/>
        <w:spacing w:before="0" w:after="0" w:line="360" w:lineRule="auto"/>
        <w:ind w:firstLine="519" w:firstLineChars="0"/>
        <w:outlineLvl w:val="0"/>
        <w:rPr>
          <w:color w:val="000000" w:themeColor="text1"/>
          <w:szCs w:val="24"/>
        </w:rPr>
      </w:pPr>
      <w:r>
        <w:rPr>
          <w:rFonts w:hint="eastAsia"/>
          <w:color w:val="000000" w:themeColor="text1"/>
          <w:szCs w:val="24"/>
        </w:rPr>
        <w:t>一、课程的性质、目的和任务</w:t>
      </w:r>
    </w:p>
    <w:p>
      <w:pPr>
        <w:widowControl/>
        <w:spacing w:line="360" w:lineRule="auto"/>
        <w:ind w:firstLine="480"/>
        <w:jc w:val="left"/>
        <w:rPr>
          <w:rFonts w:cs="宋体"/>
          <w:color w:val="000000" w:themeColor="text1"/>
          <w:szCs w:val="21"/>
        </w:rPr>
      </w:pPr>
      <w:r>
        <w:rPr>
          <w:rFonts w:hint="eastAsia" w:cs="宋体"/>
          <w:color w:val="000000" w:themeColor="text1"/>
          <w:szCs w:val="21"/>
        </w:rPr>
        <w:t>“中华文化与传播”是汉语国际教育硕士专业核心课程。课程基于国际传播学基本原理，引导研究生深入解读中国文化经典，理解中华文化特质，梳理中华文化发展脉络及其现代性与世界性意义，掌握中华文化国际传播的策略与方法。课程旨在夯实研究生知识架构与理论基础，强化其对中华文化的理性认知与情感认同，增强其传播中华文化的使命感与责任感；实现其立足全球化、多元文化视野，提高文化国际传播能力，最终胜任汉语国际教育与中华文化国际传播工作。</w:t>
      </w:r>
    </w:p>
    <w:p>
      <w:pPr>
        <w:pStyle w:val="63"/>
        <w:spacing w:before="0" w:after="0" w:line="360" w:lineRule="auto"/>
        <w:ind w:firstLine="519" w:firstLineChars="0"/>
        <w:outlineLvl w:val="0"/>
        <w:rPr>
          <w:color w:val="000000" w:themeColor="text1"/>
          <w:szCs w:val="24"/>
        </w:rPr>
      </w:pPr>
      <w:r>
        <w:rPr>
          <w:rFonts w:hint="eastAsia"/>
          <w:color w:val="000000" w:themeColor="text1"/>
          <w:szCs w:val="24"/>
        </w:rPr>
        <w:t>二、教学内容及教学基本要求</w:t>
      </w:r>
    </w:p>
    <w:p>
      <w:pPr>
        <w:spacing w:line="360" w:lineRule="auto"/>
        <w:ind w:firstLine="480"/>
        <w:rPr>
          <w:color w:val="000000" w:themeColor="text1"/>
          <w:szCs w:val="21"/>
        </w:rPr>
      </w:pPr>
      <w:r>
        <w:rPr>
          <w:rFonts w:hint="eastAsia"/>
          <w:color w:val="000000" w:themeColor="text1"/>
          <w:szCs w:val="21"/>
        </w:rPr>
        <w:t>1．梳理中华文化发展脉络，培养研究生对于中华文化历史的认知。</w:t>
      </w:r>
    </w:p>
    <w:p>
      <w:pPr>
        <w:spacing w:line="360" w:lineRule="auto"/>
        <w:ind w:firstLine="480"/>
        <w:rPr>
          <w:color w:val="000000" w:themeColor="text1"/>
          <w:szCs w:val="21"/>
        </w:rPr>
      </w:pPr>
      <w:r>
        <w:rPr>
          <w:rFonts w:hint="eastAsia"/>
          <w:color w:val="000000" w:themeColor="text1"/>
          <w:szCs w:val="21"/>
        </w:rPr>
        <w:t>2．探讨中华文化基本精神，增进研究生对于中华文化基质的理解。</w:t>
      </w:r>
    </w:p>
    <w:p>
      <w:pPr>
        <w:spacing w:line="360" w:lineRule="auto"/>
        <w:ind w:firstLine="480"/>
        <w:rPr>
          <w:color w:val="000000" w:themeColor="text1"/>
          <w:szCs w:val="21"/>
        </w:rPr>
      </w:pPr>
      <w:r>
        <w:rPr>
          <w:rFonts w:hint="eastAsia"/>
          <w:color w:val="000000" w:themeColor="text1"/>
          <w:szCs w:val="21"/>
        </w:rPr>
        <w:t>3．了解中华文化传播交流，提高研究生中华文化国际传播的能力。</w:t>
      </w:r>
    </w:p>
    <w:p>
      <w:pPr>
        <w:pStyle w:val="63"/>
        <w:spacing w:before="0" w:after="0" w:line="360" w:lineRule="auto"/>
        <w:ind w:firstLine="519" w:firstLineChars="0"/>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导论课程简介</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一</w:t>
            </w:r>
            <w:r>
              <w:rPr>
                <w:rFonts w:cs="宋体"/>
                <w:color w:val="000000" w:themeColor="text1"/>
                <w:szCs w:val="21"/>
              </w:rPr>
              <w:t>章中</w:t>
            </w:r>
            <w:r>
              <w:rPr>
                <w:rFonts w:hint="eastAsia" w:cs="宋体"/>
                <w:color w:val="000000" w:themeColor="text1"/>
                <w:szCs w:val="21"/>
              </w:rPr>
              <w:t>华文化起源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二</w:t>
            </w:r>
            <w:r>
              <w:rPr>
                <w:rFonts w:cs="宋体"/>
                <w:color w:val="000000" w:themeColor="text1"/>
                <w:szCs w:val="21"/>
              </w:rPr>
              <w:t>章</w:t>
            </w:r>
            <w:r>
              <w:rPr>
                <w:rFonts w:hint="eastAsia" w:cs="宋体"/>
                <w:color w:val="000000" w:themeColor="text1"/>
                <w:szCs w:val="21"/>
              </w:rPr>
              <w:t>中华文化基因</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三</w:t>
            </w:r>
            <w:r>
              <w:rPr>
                <w:rFonts w:cs="宋体"/>
                <w:color w:val="000000" w:themeColor="text1"/>
                <w:szCs w:val="21"/>
              </w:rPr>
              <w:t>章</w:t>
            </w:r>
            <w:r>
              <w:rPr>
                <w:rFonts w:hint="eastAsia" w:cs="宋体"/>
                <w:color w:val="000000" w:themeColor="text1"/>
                <w:szCs w:val="21"/>
              </w:rPr>
              <w:t>中华文化结构</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四</w:t>
            </w:r>
            <w:r>
              <w:rPr>
                <w:rFonts w:cs="宋体"/>
                <w:color w:val="000000" w:themeColor="text1"/>
                <w:szCs w:val="21"/>
              </w:rPr>
              <w:t>章</w:t>
            </w:r>
            <w:r>
              <w:rPr>
                <w:rFonts w:hint="eastAsia" w:cs="宋体"/>
                <w:color w:val="000000" w:themeColor="text1"/>
                <w:szCs w:val="21"/>
              </w:rPr>
              <w:t>中华文化传播</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五</w:t>
            </w:r>
            <w:r>
              <w:rPr>
                <w:rFonts w:cs="宋体"/>
                <w:color w:val="000000" w:themeColor="text1"/>
                <w:szCs w:val="21"/>
              </w:rPr>
              <w:t>章</w:t>
            </w:r>
            <w:r>
              <w:rPr>
                <w:rFonts w:hint="eastAsia" w:cs="宋体"/>
                <w:color w:val="000000" w:themeColor="text1"/>
                <w:szCs w:val="21"/>
              </w:rPr>
              <w:t>中华文化展望</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结语课程考核</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before="0" w:after="0" w:line="360" w:lineRule="auto"/>
        <w:ind w:firstLine="519" w:firstLineChars="0"/>
        <w:outlineLvl w:val="0"/>
        <w:rPr>
          <w:color w:val="000000" w:themeColor="text1"/>
          <w:szCs w:val="24"/>
        </w:rPr>
      </w:pPr>
    </w:p>
    <w:p>
      <w:pPr>
        <w:pStyle w:val="63"/>
        <w:spacing w:before="0" w:after="0" w:line="360" w:lineRule="auto"/>
        <w:ind w:firstLine="519" w:firstLineChars="0"/>
        <w:outlineLvl w:val="0"/>
        <w:rPr>
          <w:color w:val="000000" w:themeColor="text1"/>
          <w:szCs w:val="24"/>
        </w:rPr>
      </w:pPr>
      <w:r>
        <w:rPr>
          <w:rFonts w:hint="eastAsia"/>
          <w:color w:val="000000" w:themeColor="text1"/>
          <w:szCs w:val="24"/>
        </w:rPr>
        <w:t>四、课程考核方法及要求</w:t>
      </w:r>
    </w:p>
    <w:p>
      <w:pPr>
        <w:pStyle w:val="64"/>
        <w:spacing w:line="360" w:lineRule="auto"/>
        <w:ind w:firstLineChars="0"/>
        <w:rPr>
          <w:color w:val="000000" w:themeColor="text1"/>
          <w:szCs w:val="21"/>
        </w:rPr>
      </w:pPr>
      <w:r>
        <w:rPr>
          <w:color w:val="000000" w:themeColor="text1"/>
          <w:szCs w:val="21"/>
        </w:rPr>
        <w:t>1</w:t>
      </w:r>
      <w:r>
        <w:rPr>
          <w:rFonts w:hint="eastAsia"/>
          <w:color w:val="000000" w:themeColor="text1"/>
          <w:szCs w:val="21"/>
        </w:rPr>
        <w:t>．考核方式：考试（</w:t>
      </w:r>
      <w:r>
        <w:rPr>
          <w:rFonts w:hint="eastAsia" w:ascii="宋体" w:hAnsi="宋体"/>
          <w:color w:val="000000" w:themeColor="text1"/>
          <w:szCs w:val="21"/>
        </w:rPr>
        <w:t>√</w:t>
      </w:r>
      <w:r>
        <w:rPr>
          <w:rFonts w:hint="eastAsia"/>
          <w:color w:val="000000" w:themeColor="text1"/>
          <w:szCs w:val="21"/>
        </w:rPr>
        <w:t>）；考查（）</w:t>
      </w:r>
    </w:p>
    <w:p>
      <w:pPr>
        <w:pStyle w:val="64"/>
        <w:spacing w:line="360" w:lineRule="auto"/>
        <w:ind w:firstLineChars="0"/>
        <w:rPr>
          <w:color w:val="000000" w:themeColor="text1"/>
          <w:szCs w:val="21"/>
        </w:rPr>
      </w:pPr>
      <w:r>
        <w:rPr>
          <w:color w:val="000000" w:themeColor="text1"/>
          <w:szCs w:val="21"/>
        </w:rPr>
        <w:t>2</w:t>
      </w:r>
      <w:r>
        <w:rPr>
          <w:rFonts w:hint="eastAsia"/>
          <w:color w:val="000000" w:themeColor="text1"/>
          <w:szCs w:val="21"/>
        </w:rPr>
        <w:t>．成绩评定：</w:t>
      </w:r>
    </w:p>
    <w:p>
      <w:pPr>
        <w:pStyle w:val="65"/>
        <w:spacing w:line="360" w:lineRule="auto"/>
        <w:ind w:firstLineChars="0"/>
        <w:rPr>
          <w:color w:val="000000" w:themeColor="text1"/>
          <w:szCs w:val="21"/>
        </w:rPr>
      </w:pPr>
      <w:r>
        <w:rPr>
          <w:rFonts w:hint="eastAsia"/>
          <w:color w:val="000000" w:themeColor="text1"/>
          <w:szCs w:val="21"/>
        </w:rPr>
        <w:t>计分制：百分制（√）；五级分制（）；两级分制（）</w:t>
      </w:r>
    </w:p>
    <w:p>
      <w:pPr>
        <w:pStyle w:val="65"/>
        <w:spacing w:line="360" w:lineRule="auto"/>
        <w:ind w:firstLineChars="0"/>
        <w:rPr>
          <w:color w:val="000000" w:themeColor="text1"/>
          <w:szCs w:val="21"/>
        </w:rPr>
      </w:pPr>
      <w:r>
        <w:rPr>
          <w:rFonts w:hint="eastAsia"/>
          <w:color w:val="000000" w:themeColor="text1"/>
          <w:szCs w:val="21"/>
        </w:rPr>
        <w:t>总评成绩构成：平时考核60％；期末考核4</w:t>
      </w:r>
      <w:r>
        <w:rPr>
          <w:color w:val="000000" w:themeColor="text1"/>
          <w:szCs w:val="21"/>
        </w:rPr>
        <w:t>0</w:t>
      </w:r>
      <w:r>
        <w:rPr>
          <w:rFonts w:hint="eastAsia"/>
          <w:color w:val="000000" w:themeColor="text1"/>
          <w:szCs w:val="21"/>
        </w:rPr>
        <w:t>％。</w:t>
      </w:r>
    </w:p>
    <w:p>
      <w:pPr>
        <w:pStyle w:val="65"/>
        <w:spacing w:line="360" w:lineRule="auto"/>
        <w:ind w:firstLineChars="0"/>
        <w:rPr>
          <w:color w:val="000000" w:themeColor="text1"/>
          <w:szCs w:val="21"/>
        </w:rPr>
      </w:pPr>
      <w:r>
        <w:rPr>
          <w:rFonts w:hint="eastAsia"/>
          <w:color w:val="000000" w:themeColor="text1"/>
          <w:szCs w:val="21"/>
        </w:rPr>
        <w:t>平时成绩构成：课堂陈述30％；平时作业与延伸学习3</w:t>
      </w:r>
      <w:r>
        <w:rPr>
          <w:color w:val="000000" w:themeColor="text1"/>
          <w:szCs w:val="21"/>
        </w:rPr>
        <w:t>0</w:t>
      </w:r>
      <w:r>
        <w:rPr>
          <w:rFonts w:hint="eastAsia"/>
          <w:color w:val="000000" w:themeColor="text1"/>
          <w:szCs w:val="21"/>
        </w:rPr>
        <w:t>％。</w:t>
      </w:r>
    </w:p>
    <w:p>
      <w:pPr>
        <w:pStyle w:val="65"/>
        <w:spacing w:line="360" w:lineRule="auto"/>
        <w:ind w:firstLineChars="0"/>
        <w:rPr>
          <w:color w:val="000000" w:themeColor="text1"/>
          <w:szCs w:val="21"/>
        </w:rPr>
      </w:pPr>
    </w:p>
    <w:p>
      <w:pPr>
        <w:pStyle w:val="63"/>
        <w:spacing w:before="0" w:after="0" w:line="360" w:lineRule="auto"/>
        <w:ind w:firstLine="519" w:firstLineChars="0"/>
        <w:outlineLvl w:val="0"/>
        <w:rPr>
          <w:color w:val="000000" w:themeColor="text1"/>
          <w:szCs w:val="24"/>
        </w:rPr>
      </w:pPr>
      <w:r>
        <w:rPr>
          <w:rFonts w:hint="eastAsia"/>
          <w:color w:val="000000" w:themeColor="text1"/>
          <w:szCs w:val="24"/>
        </w:rPr>
        <w:t>五、建议教材及参考资料</w:t>
      </w:r>
    </w:p>
    <w:p>
      <w:pPr>
        <w:pStyle w:val="66"/>
        <w:spacing w:line="360" w:lineRule="auto"/>
        <w:ind w:firstLine="454" w:firstLineChars="0"/>
        <w:rPr>
          <w:color w:val="000000" w:themeColor="text1"/>
          <w:szCs w:val="21"/>
        </w:rPr>
      </w:pPr>
      <w:r>
        <w:rPr>
          <w:rFonts w:hint="eastAsia"/>
          <w:color w:val="000000" w:themeColor="text1"/>
          <w:szCs w:val="21"/>
        </w:rPr>
        <w:t>建议教材：</w:t>
      </w:r>
    </w:p>
    <w:p>
      <w:pPr>
        <w:spacing w:line="360" w:lineRule="auto"/>
        <w:rPr>
          <w:color w:val="000000" w:themeColor="text1"/>
          <w:szCs w:val="21"/>
        </w:rPr>
      </w:pPr>
      <w:r>
        <w:rPr>
          <w:rFonts w:hint="eastAsia"/>
          <w:color w:val="000000" w:themeColor="text1"/>
          <w:szCs w:val="21"/>
        </w:rPr>
        <w:t>赵长征、刘立新：</w:t>
      </w:r>
      <w:r>
        <w:rPr>
          <w:color w:val="000000" w:themeColor="text1"/>
          <w:szCs w:val="21"/>
        </w:rPr>
        <w:t>《</w:t>
      </w:r>
      <w:r>
        <w:rPr>
          <w:rFonts w:hint="eastAsia"/>
          <w:color w:val="000000" w:themeColor="text1"/>
          <w:szCs w:val="21"/>
        </w:rPr>
        <w:t>中华文化与传播</w:t>
      </w:r>
      <w:r>
        <w:rPr>
          <w:color w:val="000000" w:themeColor="text1"/>
          <w:szCs w:val="21"/>
        </w:rPr>
        <w:t>》，</w:t>
      </w:r>
      <w:r>
        <w:rPr>
          <w:rFonts w:hint="eastAsia"/>
          <w:color w:val="000000" w:themeColor="text1"/>
          <w:szCs w:val="21"/>
        </w:rPr>
        <w:t>外语教学与研究</w:t>
      </w:r>
      <w:r>
        <w:rPr>
          <w:color w:val="000000" w:themeColor="text1"/>
          <w:szCs w:val="21"/>
        </w:rPr>
        <w:t>出版社，20</w:t>
      </w:r>
      <w:r>
        <w:rPr>
          <w:rFonts w:hint="eastAsia"/>
          <w:color w:val="000000" w:themeColor="text1"/>
          <w:szCs w:val="21"/>
        </w:rPr>
        <w:t>15</w:t>
      </w:r>
      <w:r>
        <w:rPr>
          <w:color w:val="000000" w:themeColor="text1"/>
          <w:szCs w:val="21"/>
        </w:rPr>
        <w:t>年</w:t>
      </w:r>
      <w:r>
        <w:rPr>
          <w:rFonts w:hint="eastAsia"/>
          <w:color w:val="000000" w:themeColor="text1"/>
          <w:szCs w:val="21"/>
        </w:rPr>
        <w:t>。</w:t>
      </w:r>
    </w:p>
    <w:p>
      <w:pPr>
        <w:pStyle w:val="66"/>
        <w:spacing w:line="360" w:lineRule="auto"/>
        <w:ind w:firstLine="454" w:firstLineChars="0"/>
        <w:rPr>
          <w:color w:val="000000" w:themeColor="text1"/>
          <w:szCs w:val="21"/>
        </w:rPr>
      </w:pPr>
      <w:r>
        <w:rPr>
          <w:rFonts w:hint="eastAsia"/>
          <w:color w:val="000000" w:themeColor="text1"/>
          <w:szCs w:val="21"/>
        </w:rPr>
        <w:t>参考资料：</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[英]马凌诺夫斯基：《文化论》，费孝通译，华夏出版社，2002年；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[美]本尼迪克特：《文化模式》，王炜译，社科文献出版社，2009年；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梁漱溟：《中国文化要义》，学林出版社，2000年；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梁漱溟：《东西文化及其哲学》，商务印书馆，2000年；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钱穆：《中国文化史导论》（修订本），商务印书馆，1994年；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[美]孙隆基：《中国文化的深层结构》，广西师范大学出版社，2001年；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田昌五：《华夏文明的起源》，中国国际广播出版社，2010年；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苏秉琦：《中国文明起源新探》，三联书店，2000年；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方韬注：《山海经》，中华书局，2011年；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宿白：《考古发现与中西文化交流》，文物出版社，2012年；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殷海光：《中国文化的展望》，中华书局，2016年；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余英时：《中国思想传统的现代诠释》，江苏人民出版社，1998年；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林毓生：《中国传统的创造性转化》，三联书店，1988年；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秦家懿孔汉思：《中国宗教与基督教》，吴华译，三联书店，1997年；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[德]马克斯·韦伯：《儒教与道教》，王容芬译，商务印书馆，2002年；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费孝通：《乡土中国》，上海世纪出版集团，2007年；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许倬云：《万古江河》，上海文艺出版社，2006年；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陈登原：《中国文化史》，辽宁教育出版社，1998年；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冯友兰：《中国哲学史》，华东师范大学出版社，2000年；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萧公权：《中国政治思想史》，辽宁教育出版社，1998年；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陈炎：《陈炎自选集》，广西师范大学出版社，2002年；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[英]马凌诺夫斯基：《自由与文明》，张帆译，世界图书出版公司，2009年；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袁行霈严文明张传玺楼宇烈主编：《中华文明史》北京大学出版社，2006年；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[美]佩里·罗杰斯：《西方文明史：问题与源头》，潘惠霞魏婧杨艳汤玲译，东北财经大学出版社，2011年；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[英]约翰·霍布森：《西方文明的东方起源》，孙建党译，山东画报出版社，2009年；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周宁：《中西最初的遭遇与冲突》，学苑出版社，2000年；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[美]爱德华·霍尔：《超越文化》，何道宽译，北京大学出版社，2010年；</w:t>
      </w:r>
    </w:p>
    <w:p>
      <w:pPr>
        <w:pStyle w:val="67"/>
        <w:widowControl/>
        <w:numPr>
          <w:ilvl w:val="0"/>
          <w:numId w:val="3"/>
        </w:numPr>
        <w:spacing w:line="360" w:lineRule="auto"/>
        <w:ind w:firstLineChars="0"/>
        <w:jc w:val="left"/>
        <w:rPr>
          <w:rFonts w:cs="宋体"/>
          <w:color w:val="000000" w:themeColor="text1"/>
          <w:szCs w:val="21"/>
        </w:rPr>
      </w:pPr>
      <w:r>
        <w:rPr>
          <w:rFonts w:hint="eastAsia" w:cs="宋体"/>
          <w:color w:val="000000" w:themeColor="text1"/>
          <w:szCs w:val="21"/>
        </w:rPr>
        <w:t>方豪：《中西交通史》，上海人民出版社，2015年；</w:t>
      </w:r>
    </w:p>
    <w:p>
      <w:pPr>
        <w:pStyle w:val="67"/>
        <w:widowControl/>
        <w:numPr>
          <w:ilvl w:val="0"/>
          <w:numId w:val="3"/>
        </w:numPr>
        <w:spacing w:line="360" w:lineRule="auto"/>
        <w:ind w:firstLineChars="0"/>
        <w:jc w:val="left"/>
        <w:rPr>
          <w:color w:val="000000" w:themeColor="text1"/>
        </w:rPr>
      </w:pPr>
      <w:r>
        <w:rPr>
          <w:rFonts w:hint="eastAsia" w:cs="宋体"/>
          <w:color w:val="000000" w:themeColor="text1"/>
          <w:szCs w:val="21"/>
        </w:rPr>
        <w:t>李智：《国际传播》，中国人民大学出版社，2013年。</w:t>
      </w:r>
    </w:p>
    <w:p>
      <w:pPr>
        <w:pStyle w:val="67"/>
        <w:widowControl/>
        <w:spacing w:line="360" w:lineRule="auto"/>
        <w:ind w:firstLine="0" w:firstLineChars="0"/>
        <w:jc w:val="left"/>
        <w:rPr>
          <w:rFonts w:cs="宋体"/>
          <w:color w:val="000000" w:themeColor="text1"/>
          <w:szCs w:val="21"/>
        </w:rPr>
      </w:pPr>
    </w:p>
    <w:p>
      <w:pPr>
        <w:pStyle w:val="67"/>
        <w:widowControl/>
        <w:spacing w:line="360" w:lineRule="auto"/>
        <w:ind w:firstLine="0" w:firstLineChars="0"/>
        <w:jc w:val="left"/>
        <w:rPr>
          <w:rFonts w:cs="宋体"/>
          <w:color w:val="000000" w:themeColor="text1"/>
          <w:szCs w:val="21"/>
        </w:rPr>
      </w:pPr>
    </w:p>
    <w:p>
      <w:pPr>
        <w:pStyle w:val="67"/>
        <w:widowControl/>
        <w:spacing w:line="360" w:lineRule="auto"/>
        <w:ind w:firstLine="0" w:firstLineChars="0"/>
        <w:jc w:val="left"/>
        <w:rPr>
          <w:rFonts w:cs="宋体"/>
          <w:color w:val="000000" w:themeColor="text1"/>
          <w:szCs w:val="21"/>
        </w:rPr>
      </w:pPr>
    </w:p>
    <w:p>
      <w:pPr>
        <w:pStyle w:val="67"/>
        <w:widowControl/>
        <w:spacing w:line="360" w:lineRule="auto"/>
        <w:ind w:firstLine="0" w:firstLineChars="0"/>
        <w:jc w:val="left"/>
        <w:rPr>
          <w:rFonts w:cs="宋体"/>
          <w:color w:val="000000" w:themeColor="text1"/>
          <w:szCs w:val="21"/>
        </w:rPr>
      </w:pPr>
    </w:p>
    <w:p>
      <w:pPr>
        <w:pStyle w:val="67"/>
        <w:widowControl/>
        <w:spacing w:line="360" w:lineRule="auto"/>
        <w:ind w:firstLine="0" w:firstLineChars="0"/>
        <w:jc w:val="left"/>
        <w:rPr>
          <w:rFonts w:cs="宋体"/>
          <w:color w:val="000000" w:themeColor="text1"/>
          <w:szCs w:val="21"/>
        </w:rPr>
      </w:pPr>
    </w:p>
    <w:p>
      <w:pPr>
        <w:pStyle w:val="67"/>
        <w:widowControl/>
        <w:spacing w:line="360" w:lineRule="auto"/>
        <w:ind w:firstLine="0" w:firstLineChars="0"/>
        <w:jc w:val="left"/>
        <w:rPr>
          <w:rFonts w:cs="宋体"/>
          <w:color w:val="000000" w:themeColor="text1"/>
          <w:szCs w:val="21"/>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b/>
          <w:color w:val="000000" w:themeColor="text1"/>
          <w:sz w:val="32"/>
          <w:szCs w:val="32"/>
        </w:rPr>
      </w:pPr>
    </w:p>
    <w:p>
      <w:pPr>
        <w:adjustRightInd w:val="0"/>
        <w:snapToGrid w:val="0"/>
        <w:spacing w:line="300" w:lineRule="auto"/>
        <w:ind w:firstLine="1920" w:firstLineChars="6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中华文化才艺与展示课程教学大纲</w:t>
      </w:r>
      <w:bookmarkEnd w:id="34"/>
    </w:p>
    <w:p>
      <w:pPr>
        <w:pStyle w:val="62"/>
        <w:spacing w:line="360" w:lineRule="auto"/>
        <w:ind w:firstLine="422"/>
        <w:rPr>
          <w:color w:val="000000" w:themeColor="text1"/>
          <w:szCs w:val="24"/>
        </w:rPr>
      </w:pPr>
      <w:r>
        <w:rPr>
          <w:rFonts w:hint="eastAsia"/>
          <w:b/>
          <w:color w:val="000000" w:themeColor="text1"/>
          <w:sz w:val="21"/>
          <w:szCs w:val="21"/>
        </w:rPr>
        <w:t>课程名称</w:t>
      </w:r>
      <w:r>
        <w:rPr>
          <w:rFonts w:hint="eastAsia"/>
          <w:color w:val="000000" w:themeColor="text1"/>
          <w:sz w:val="21"/>
          <w:szCs w:val="21"/>
        </w:rPr>
        <w:t xml:space="preserve">：中华文化才艺与展示 </w:t>
      </w:r>
      <w:r>
        <w:rPr>
          <w:color w:val="000000" w:themeColor="text1"/>
          <w:szCs w:val="24"/>
        </w:rPr>
        <w:t xml:space="preserve">  </w:t>
      </w:r>
    </w:p>
    <w:p>
      <w:pPr>
        <w:pStyle w:val="62"/>
        <w:spacing w:line="360" w:lineRule="auto"/>
        <w:ind w:firstLine="422"/>
        <w:rPr>
          <w:color w:val="000000" w:themeColor="text1"/>
          <w:szCs w:val="24"/>
        </w:rPr>
      </w:pPr>
      <w:r>
        <w:rPr>
          <w:rFonts w:hint="eastAsia"/>
          <w:b/>
          <w:color w:val="000000" w:themeColor="text1"/>
          <w:sz w:val="21"/>
          <w:szCs w:val="21"/>
        </w:rPr>
        <w:t>课程编号</w:t>
      </w:r>
      <w:r>
        <w:rPr>
          <w:rFonts w:hint="eastAsia"/>
          <w:color w:val="000000" w:themeColor="text1"/>
          <w:szCs w:val="24"/>
        </w:rPr>
        <w:t>：</w:t>
      </w:r>
      <w:r>
        <w:rPr>
          <w:rFonts w:hint="eastAsia"/>
          <w:color w:val="000000" w:themeColor="text1"/>
          <w:sz w:val="21"/>
          <w:szCs w:val="21"/>
        </w:rPr>
        <w:t>1504531016</w:t>
      </w:r>
    </w:p>
    <w:p>
      <w:pPr>
        <w:pStyle w:val="62"/>
        <w:spacing w:line="360" w:lineRule="auto"/>
        <w:ind w:firstLine="422"/>
        <w:rPr>
          <w:color w:val="000000" w:themeColor="text1"/>
          <w:szCs w:val="24"/>
        </w:rPr>
      </w:pPr>
      <w:r>
        <w:rPr>
          <w:rFonts w:hint="eastAsia"/>
          <w:b/>
          <w:color w:val="000000" w:themeColor="text1"/>
          <w:sz w:val="21"/>
          <w:szCs w:val="21"/>
        </w:rPr>
        <w:t>课程类型：</w:t>
      </w:r>
      <w:r>
        <w:rPr>
          <w:rFonts w:hint="eastAsia"/>
          <w:color w:val="000000" w:themeColor="text1"/>
          <w:sz w:val="21"/>
          <w:szCs w:val="21"/>
        </w:rPr>
        <w:t>学科学位课/必修</w:t>
      </w:r>
    </w:p>
    <w:p>
      <w:pPr>
        <w:pStyle w:val="62"/>
        <w:spacing w:line="360" w:lineRule="auto"/>
        <w:ind w:firstLine="422"/>
        <w:rPr>
          <w:color w:val="000000" w:themeColor="text1"/>
          <w:szCs w:val="24"/>
        </w:rPr>
      </w:pPr>
      <w:r>
        <w:rPr>
          <w:rFonts w:hint="eastAsia"/>
          <w:b/>
          <w:color w:val="000000" w:themeColor="text1"/>
          <w:sz w:val="21"/>
          <w:szCs w:val="21"/>
        </w:rPr>
        <w:t>总学时数：</w:t>
      </w:r>
      <w:r>
        <w:rPr>
          <w:color w:val="000000" w:themeColor="text1"/>
          <w:szCs w:val="24"/>
        </w:rPr>
        <w:t xml:space="preserve"> </w:t>
      </w:r>
      <w:r>
        <w:rPr>
          <w:rFonts w:hint="eastAsia"/>
          <w:color w:val="000000" w:themeColor="text1"/>
          <w:sz w:val="21"/>
          <w:szCs w:val="21"/>
        </w:rPr>
        <w:t>32</w:t>
      </w:r>
    </w:p>
    <w:p>
      <w:pPr>
        <w:pStyle w:val="62"/>
        <w:spacing w:line="360" w:lineRule="auto"/>
        <w:ind w:firstLine="422"/>
        <w:rPr>
          <w:color w:val="000000" w:themeColor="text1"/>
          <w:szCs w:val="24"/>
        </w:rPr>
      </w:pPr>
      <w:r>
        <w:rPr>
          <w:rFonts w:hint="eastAsia"/>
          <w:b/>
          <w:color w:val="000000" w:themeColor="text1"/>
          <w:sz w:val="21"/>
          <w:szCs w:val="21"/>
        </w:rPr>
        <w:t>学    分：</w:t>
      </w:r>
      <w:r>
        <w:rPr>
          <w:rFonts w:hint="eastAsia"/>
          <w:color w:val="000000" w:themeColor="text1"/>
          <w:sz w:val="21"/>
          <w:szCs w:val="21"/>
        </w:rPr>
        <w:t xml:space="preserve"> 1</w:t>
      </w:r>
    </w:p>
    <w:p>
      <w:pPr>
        <w:pStyle w:val="62"/>
        <w:tabs>
          <w:tab w:val="left" w:pos="3420"/>
        </w:tabs>
        <w:spacing w:line="360" w:lineRule="auto"/>
        <w:ind w:firstLine="422"/>
        <w:rPr>
          <w:color w:val="000000" w:themeColor="text1"/>
          <w:szCs w:val="24"/>
        </w:rPr>
      </w:pPr>
      <w:r>
        <w:rPr>
          <w:rFonts w:hint="eastAsia"/>
          <w:b/>
          <w:color w:val="000000" w:themeColor="text1"/>
          <w:sz w:val="21"/>
          <w:szCs w:val="21"/>
        </w:rPr>
        <w:t>先修课程</w:t>
      </w:r>
      <w:r>
        <w:rPr>
          <w:rFonts w:hint="eastAsia"/>
          <w:color w:val="000000" w:themeColor="text1"/>
          <w:szCs w:val="24"/>
        </w:rPr>
        <w:t>：</w:t>
      </w:r>
      <w:r>
        <w:rPr>
          <w:rFonts w:hint="eastAsia"/>
          <w:color w:val="000000" w:themeColor="text1"/>
          <w:sz w:val="21"/>
          <w:szCs w:val="21"/>
        </w:rPr>
        <w:t>无</w:t>
      </w:r>
    </w:p>
    <w:p>
      <w:pPr>
        <w:pStyle w:val="62"/>
        <w:spacing w:line="360" w:lineRule="auto"/>
        <w:ind w:firstLine="422"/>
        <w:rPr>
          <w:color w:val="000000" w:themeColor="text1"/>
          <w:szCs w:val="24"/>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Cs w:val="24"/>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spacing w:before="0" w:after="0" w:line="360" w:lineRule="auto"/>
        <w:outlineLvl w:val="0"/>
        <w:rPr>
          <w:color w:val="000000" w:themeColor="text1"/>
          <w:szCs w:val="24"/>
        </w:rPr>
      </w:pPr>
      <w:bookmarkStart w:id="35" w:name="_Toc360028527"/>
      <w:bookmarkStart w:id="36" w:name="_Toc360392719"/>
      <w:bookmarkStart w:id="37" w:name="_Toc360029098"/>
      <w:bookmarkStart w:id="38" w:name="_Toc360023928"/>
      <w:bookmarkStart w:id="39" w:name="_Toc360395420"/>
      <w:bookmarkStart w:id="40" w:name="_Toc360023659"/>
      <w:bookmarkStart w:id="41" w:name="_Toc360392478"/>
      <w:r>
        <w:rPr>
          <w:rFonts w:hint="eastAsia"/>
          <w:color w:val="000000" w:themeColor="text1"/>
          <w:szCs w:val="24"/>
        </w:rPr>
        <w:t>一、课程的性质、目的和任务</w:t>
      </w:r>
      <w:bookmarkEnd w:id="35"/>
      <w:bookmarkEnd w:id="36"/>
      <w:bookmarkEnd w:id="37"/>
      <w:bookmarkEnd w:id="38"/>
      <w:bookmarkEnd w:id="39"/>
      <w:bookmarkEnd w:id="40"/>
      <w:bookmarkEnd w:id="41"/>
    </w:p>
    <w:p>
      <w:pPr>
        <w:pStyle w:val="62"/>
        <w:spacing w:line="360" w:lineRule="auto"/>
        <w:ind w:firstLine="420"/>
        <w:rPr>
          <w:color w:val="000000" w:themeColor="text1"/>
          <w:sz w:val="21"/>
          <w:szCs w:val="21"/>
        </w:rPr>
      </w:pPr>
      <w:r>
        <w:rPr>
          <w:rFonts w:hint="eastAsia"/>
          <w:color w:val="000000" w:themeColor="text1"/>
          <w:sz w:val="21"/>
          <w:szCs w:val="21"/>
        </w:rPr>
        <w:t>《中华文化才艺与展示》是汉语国际教育专业硕士必修课程之一，旨在培养学生掌握中华一定的中华才艺，并能运用于未来的汉语作为第二语言教学实践的一门课程。本课程在学生了解相关中华文化知识的基础上，教授中华传统的音乐、书法篆刻、剪纸、结艺等中华才艺知识和技能。通过课堂四类中华才艺专题教习和课外实训练习，使学生提升自身的中华文化素养，习得所授中华才艺汉语，并能将所掌握的才艺运用于今后的汉语课堂教学实践，从而进一步强化教学技能。</w:t>
      </w:r>
    </w:p>
    <w:p>
      <w:pPr>
        <w:pStyle w:val="63"/>
        <w:spacing w:before="0" w:after="0" w:line="360" w:lineRule="auto"/>
        <w:outlineLvl w:val="0"/>
        <w:rPr>
          <w:color w:val="000000" w:themeColor="text1"/>
          <w:szCs w:val="24"/>
        </w:rPr>
      </w:pPr>
      <w:r>
        <w:rPr>
          <w:rFonts w:hint="eastAsia"/>
          <w:color w:val="000000" w:themeColor="text1"/>
          <w:szCs w:val="24"/>
        </w:rPr>
        <w:t xml:space="preserve"> </w:t>
      </w:r>
      <w:bookmarkStart w:id="42" w:name="_Toc360023660"/>
      <w:bookmarkStart w:id="43" w:name="_Toc360395421"/>
      <w:bookmarkStart w:id="44" w:name="_Toc360023929"/>
      <w:bookmarkStart w:id="45" w:name="_Toc360392720"/>
      <w:bookmarkStart w:id="46" w:name="_Toc360028528"/>
      <w:bookmarkStart w:id="47" w:name="_Toc360029099"/>
      <w:bookmarkStart w:id="48" w:name="_Toc360392479"/>
      <w:r>
        <w:rPr>
          <w:rFonts w:hint="eastAsia"/>
          <w:color w:val="000000" w:themeColor="text1"/>
          <w:szCs w:val="24"/>
        </w:rPr>
        <w:t>二、教学内容及教学基本要求</w:t>
      </w:r>
      <w:bookmarkEnd w:id="42"/>
      <w:bookmarkEnd w:id="43"/>
      <w:bookmarkEnd w:id="44"/>
      <w:bookmarkEnd w:id="45"/>
      <w:bookmarkEnd w:id="46"/>
      <w:bookmarkEnd w:id="47"/>
      <w:bookmarkEnd w:id="48"/>
    </w:p>
    <w:p>
      <w:pPr>
        <w:pStyle w:val="65"/>
        <w:spacing w:line="360" w:lineRule="auto"/>
        <w:rPr>
          <w:color w:val="000000" w:themeColor="text1"/>
          <w:szCs w:val="21"/>
        </w:rPr>
      </w:pPr>
      <w:r>
        <w:rPr>
          <w:rFonts w:hint="eastAsia"/>
          <w:color w:val="000000" w:themeColor="text1"/>
          <w:szCs w:val="21"/>
        </w:rPr>
        <w:t>1．培养学生了解中国传统音乐、书法、篆刻、剪纸、编结等中华文化知识。</w:t>
      </w:r>
    </w:p>
    <w:p>
      <w:pPr>
        <w:pStyle w:val="65"/>
        <w:spacing w:line="360" w:lineRule="auto"/>
        <w:rPr>
          <w:color w:val="000000" w:themeColor="text1"/>
          <w:szCs w:val="21"/>
        </w:rPr>
      </w:pPr>
      <w:r>
        <w:rPr>
          <w:color w:val="000000" w:themeColor="text1"/>
          <w:szCs w:val="21"/>
        </w:rPr>
        <w:t>2</w:t>
      </w:r>
      <w:r>
        <w:rPr>
          <w:rFonts w:hint="eastAsia"/>
          <w:color w:val="000000" w:themeColor="text1"/>
          <w:szCs w:val="21"/>
        </w:rPr>
        <w:t>．通过课内外所授才艺练习使学生习得所学才艺并能运用于未来汉语教学实践。</w:t>
      </w:r>
    </w:p>
    <w:p>
      <w:pPr>
        <w:pStyle w:val="63"/>
        <w:spacing w:before="0" w:after="0" w:line="360" w:lineRule="auto"/>
        <w:outlineLvl w:val="0"/>
        <w:rPr>
          <w:color w:val="000000" w:themeColor="text1"/>
          <w:szCs w:val="24"/>
        </w:rPr>
      </w:pPr>
      <w:bookmarkStart w:id="49" w:name="_Toc360395422"/>
      <w:bookmarkStart w:id="50" w:name="_Toc360029100"/>
      <w:bookmarkStart w:id="51" w:name="_Toc360028529"/>
      <w:bookmarkStart w:id="52" w:name="_Toc360392480"/>
      <w:bookmarkStart w:id="53" w:name="_Toc360023930"/>
      <w:bookmarkStart w:id="54" w:name="_Toc360392721"/>
      <w:bookmarkStart w:id="55" w:name="_Toc360023661"/>
      <w:r>
        <w:rPr>
          <w:rFonts w:hint="eastAsia"/>
          <w:color w:val="000000" w:themeColor="text1"/>
          <w:szCs w:val="24"/>
        </w:rPr>
        <w:t>三、学时分配表</w:t>
      </w:r>
      <w:bookmarkEnd w:id="49"/>
      <w:bookmarkEnd w:id="50"/>
      <w:bookmarkEnd w:id="51"/>
      <w:bookmarkEnd w:id="52"/>
      <w:bookmarkEnd w:id="53"/>
      <w:bookmarkEnd w:id="54"/>
      <w:bookmarkEnd w:id="55"/>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第一讲 中华剪纸</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第二讲 书法篆刻</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第三讲 中华结艺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szCs w:val="21"/>
              </w:rPr>
            </w:pPr>
            <w:r>
              <w:rPr>
                <w:rFonts w:hint="eastAsia" w:ascii="宋体" w:hAnsi="宋体" w:eastAsia="宋体" w:cs="宋体"/>
                <w:color w:val="000000" w:themeColor="text1"/>
                <w:szCs w:val="21"/>
              </w:rPr>
              <w:t>第四讲 中华传统音乐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32</w:t>
            </w:r>
          </w:p>
        </w:tc>
      </w:tr>
    </w:tbl>
    <w:p>
      <w:pPr>
        <w:pStyle w:val="63"/>
        <w:spacing w:before="0" w:after="0" w:line="360" w:lineRule="auto"/>
        <w:outlineLvl w:val="0"/>
        <w:rPr>
          <w:color w:val="000000" w:themeColor="text1"/>
          <w:szCs w:val="24"/>
        </w:rPr>
      </w:pPr>
      <w:bookmarkStart w:id="56" w:name="_Toc360392481"/>
      <w:bookmarkStart w:id="57" w:name="_Toc360392722"/>
      <w:bookmarkStart w:id="58" w:name="_Toc360395423"/>
      <w:r>
        <w:rPr>
          <w:rFonts w:hint="eastAsia"/>
          <w:color w:val="000000" w:themeColor="text1"/>
          <w:szCs w:val="24"/>
        </w:rPr>
        <w:t>四、课程考核方法及要求</w:t>
      </w:r>
      <w:bookmarkEnd w:id="56"/>
      <w:bookmarkEnd w:id="57"/>
      <w:bookmarkEnd w:id="58"/>
    </w:p>
    <w:p>
      <w:pPr>
        <w:pStyle w:val="64"/>
        <w:spacing w:line="360" w:lineRule="auto"/>
        <w:rPr>
          <w:rFonts w:ascii="宋体" w:hAnsi="宋体" w:eastAsia="宋体"/>
          <w:color w:val="000000" w:themeColor="text1"/>
          <w:szCs w:val="21"/>
        </w:rPr>
      </w:pPr>
      <w:r>
        <w:rPr>
          <w:rFonts w:hint="eastAsia" w:ascii="宋体" w:hAnsi="宋体" w:eastAsia="宋体"/>
          <w:color w:val="000000" w:themeColor="text1"/>
          <w:szCs w:val="21"/>
        </w:rPr>
        <w:t>1．考核方式：考试（）；考查（√）</w:t>
      </w:r>
    </w:p>
    <w:p>
      <w:pPr>
        <w:pStyle w:val="64"/>
        <w:spacing w:line="360" w:lineRule="auto"/>
        <w:rPr>
          <w:rFonts w:ascii="宋体" w:hAnsi="宋体" w:eastAsia="宋体"/>
          <w:color w:val="000000" w:themeColor="text1"/>
          <w:szCs w:val="21"/>
        </w:rPr>
      </w:pPr>
      <w:r>
        <w:rPr>
          <w:rFonts w:hint="eastAsia" w:ascii="宋体" w:hAnsi="宋体" w:eastAsia="宋体"/>
          <w:color w:val="000000" w:themeColor="text1"/>
          <w:szCs w:val="21"/>
        </w:rPr>
        <w:t>2．成绩评定：</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t>计分制：百分制（√）；五级分制（）；两级分制（）</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t>总评成绩构成：平时考核（20）％；期末考核（80）％</w:t>
      </w:r>
    </w:p>
    <w:p>
      <w:pPr>
        <w:pStyle w:val="63"/>
        <w:spacing w:before="0" w:after="0" w:line="360" w:lineRule="auto"/>
        <w:outlineLvl w:val="0"/>
        <w:rPr>
          <w:rFonts w:ascii="宋体" w:hAnsi="宋体" w:eastAsia="宋体"/>
          <w:color w:val="000000" w:themeColor="text1"/>
          <w:szCs w:val="24"/>
        </w:rPr>
      </w:pPr>
      <w:bookmarkStart w:id="59" w:name="_Toc360395424"/>
      <w:bookmarkStart w:id="60" w:name="_Toc360023931"/>
      <w:bookmarkStart w:id="61" w:name="_Toc360392482"/>
      <w:bookmarkStart w:id="62" w:name="_Toc360028530"/>
      <w:bookmarkStart w:id="63" w:name="_Toc360029101"/>
      <w:bookmarkStart w:id="64" w:name="_Toc360023662"/>
      <w:bookmarkStart w:id="65" w:name="_Toc360392723"/>
      <w:r>
        <w:rPr>
          <w:rFonts w:hint="eastAsia" w:ascii="宋体" w:hAnsi="宋体" w:eastAsia="宋体"/>
          <w:color w:val="000000" w:themeColor="text1"/>
          <w:szCs w:val="24"/>
        </w:rPr>
        <w:t xml:space="preserve"> 五、建议教材及参考资料</w:t>
      </w:r>
      <w:bookmarkEnd w:id="59"/>
      <w:bookmarkEnd w:id="60"/>
      <w:bookmarkEnd w:id="61"/>
      <w:bookmarkEnd w:id="62"/>
      <w:bookmarkEnd w:id="63"/>
      <w:bookmarkEnd w:id="64"/>
      <w:bookmarkEnd w:id="65"/>
    </w:p>
    <w:p>
      <w:pPr>
        <w:pStyle w:val="65"/>
        <w:spacing w:line="360" w:lineRule="auto"/>
        <w:rPr>
          <w:rFonts w:ascii="宋体" w:hAnsi="宋体" w:eastAsia="宋体"/>
          <w:color w:val="000000" w:themeColor="text1"/>
          <w:szCs w:val="21"/>
        </w:rPr>
      </w:pPr>
      <w:bookmarkStart w:id="66" w:name="_Toc360392726"/>
      <w:bookmarkStart w:id="67" w:name="_Toc360023934"/>
      <w:bookmarkStart w:id="68" w:name="_Toc360392485"/>
      <w:bookmarkStart w:id="69" w:name="_Toc360028533"/>
      <w:bookmarkStart w:id="70" w:name="_Toc360395427"/>
      <w:bookmarkStart w:id="71" w:name="_Toc360023665"/>
      <w:bookmarkStart w:id="72" w:name="_Toc360029104"/>
      <w:r>
        <w:rPr>
          <w:rFonts w:hint="eastAsia" w:ascii="宋体" w:hAnsi="宋体" w:eastAsia="宋体"/>
          <w:color w:val="000000" w:themeColor="text1"/>
          <w:szCs w:val="21"/>
        </w:rPr>
        <w:t>1.</w:t>
      </w:r>
      <w:r>
        <w:rPr>
          <w:rFonts w:hint="eastAsia" w:ascii="Arial" w:hAnsi="Arial" w:eastAsia="宋体" w:cs="Arial"/>
          <w:color w:val="000000" w:themeColor="text1"/>
          <w:szCs w:val="21"/>
          <w:shd w:val="clear" w:color="auto" w:fill="FFFFFF"/>
        </w:rPr>
        <w:t>江明惇</w:t>
      </w:r>
      <w:r>
        <w:rPr>
          <w:rFonts w:hint="eastAsia" w:ascii="宋体" w:hAnsi="宋体" w:eastAsia="宋体"/>
          <w:color w:val="000000" w:themeColor="text1"/>
          <w:szCs w:val="21"/>
        </w:rPr>
        <w:t>《中国民族音乐》，高等教育出版社2007</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t>2.廖淑华 《流行中国结艺》，河南科技出版社2010</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t>3.沃兴华《中国书法篆刻简史》，中华书局2010</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t>4.孙二林《实用剪纸技法》，金盾出版社2011</w:t>
      </w:r>
    </w:p>
    <w:p>
      <w:pPr>
        <w:pStyle w:val="65"/>
        <w:spacing w:line="360" w:lineRule="auto"/>
        <w:rPr>
          <w:rFonts w:ascii="宋体" w:hAnsi="宋体" w:eastAsia="宋体"/>
          <w:color w:val="000000" w:themeColor="text1"/>
          <w:szCs w:val="21"/>
        </w:rPr>
      </w:pPr>
      <w:r>
        <w:rPr>
          <w:rFonts w:hint="eastAsia" w:ascii="宋体" w:hAnsi="宋体" w:eastAsia="宋体"/>
          <w:color w:val="000000" w:themeColor="text1"/>
          <w:szCs w:val="21"/>
        </w:rPr>
        <w:br w:type="page"/>
      </w:r>
    </w:p>
    <w:p>
      <w:pPr>
        <w:adjustRightInd w:val="0"/>
        <w:snapToGrid w:val="0"/>
        <w:spacing w:line="300" w:lineRule="auto"/>
        <w:ind w:firstLine="1920" w:firstLineChars="6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rPr>
          <w:color w:val="000000" w:themeColor="text1"/>
          <w:sz w:val="32"/>
          <w:szCs w:val="32"/>
        </w:rPr>
      </w:pPr>
      <w:r>
        <w:rPr>
          <w:rFonts w:hint="eastAsia"/>
          <w:color w:val="000000" w:themeColor="text1"/>
          <w:sz w:val="32"/>
          <w:szCs w:val="32"/>
        </w:rPr>
        <w:t>课程设计与实践课程教学大纲</w:t>
      </w:r>
    </w:p>
    <w:p>
      <w:pPr>
        <w:pStyle w:val="62"/>
        <w:spacing w:line="360" w:lineRule="auto"/>
        <w:ind w:firstLine="422"/>
        <w:rPr>
          <w:rFonts w:ascii="宋体" w:hAnsi="宋体"/>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rFonts w:hint="eastAsia" w:ascii="宋体" w:hAnsi="宋体"/>
          <w:color w:val="000000" w:themeColor="text1"/>
          <w:sz w:val="21"/>
          <w:szCs w:val="21"/>
        </w:rPr>
        <w:t>课程设计与实践/Course Design and Practice</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hint="eastAsia" w:ascii="宋体" w:hAnsi="宋体"/>
          <w:color w:val="000000" w:themeColor="text1"/>
          <w:sz w:val="21"/>
          <w:szCs w:val="21"/>
        </w:rPr>
        <w:t xml:space="preserve">1504533015 </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 训练课程</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48</w:t>
      </w:r>
    </w:p>
    <w:p>
      <w:pPr>
        <w:pStyle w:val="62"/>
        <w:spacing w:line="360" w:lineRule="auto"/>
        <w:ind w:firstLine="422"/>
        <w:rPr>
          <w:rFonts w:ascii="宋体" w:hAnsi="宋体" w:eastAsia="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3</w:t>
      </w:r>
    </w:p>
    <w:p>
      <w:pPr>
        <w:pStyle w:val="62"/>
        <w:tabs>
          <w:tab w:val="left" w:pos="3420"/>
        </w:tabs>
        <w:spacing w:line="360" w:lineRule="auto"/>
        <w:ind w:firstLine="422"/>
        <w:rPr>
          <w:rFonts w:ascii="宋体" w:hAnsi="宋体"/>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color w:val="000000" w:themeColor="text1"/>
          <w:sz w:val="21"/>
          <w:szCs w:val="21"/>
        </w:rPr>
        <w:t>汉语作为第二语言教学；第二语言习得；国外汉语课堂教学案例；外语教育心理学；</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w:t>
      </w:r>
      <w:r>
        <w:rPr>
          <w:rFonts w:hint="eastAsia" w:ascii="宋体" w:hAnsi="宋体"/>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ind w:firstLine="422"/>
        <w:outlineLvl w:val="0"/>
        <w:rPr>
          <w:color w:val="000000" w:themeColor="text1"/>
          <w:sz w:val="21"/>
          <w:szCs w:val="21"/>
        </w:rPr>
      </w:pPr>
      <w:r>
        <w:rPr>
          <w:rFonts w:hint="eastAsia"/>
          <w:color w:val="000000" w:themeColor="text1"/>
          <w:sz w:val="21"/>
          <w:szCs w:val="21"/>
        </w:rPr>
        <w:t>一、课程的性质、目的和任务</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w:t>
      </w:r>
      <w:r>
        <w:rPr>
          <w:rFonts w:hint="eastAsia"/>
          <w:color w:val="000000" w:themeColor="text1"/>
          <w:szCs w:val="21"/>
        </w:rPr>
        <w:t>课程设计与实践</w:t>
      </w:r>
      <w:r>
        <w:rPr>
          <w:rFonts w:hint="eastAsia" w:ascii="宋体" w:hAnsi="宋体"/>
          <w:color w:val="000000" w:themeColor="text1"/>
          <w:szCs w:val="21"/>
        </w:rPr>
        <w:t>》是汉语国际教育硕士专业学生学位训练课程之一。课程传授学生课程设计的理论知识，培养学生的实践应用能力。课程综合各学习理论、教学理论等，运用系统方法分析课程设计相关教学问题、确定教学目标、建立解决教学问题的策略方案、评价试行结果。本课程是一门以系统方法为基本手段，以教与学的理论为依据，使学生掌握课程设计及其教学效果最优化的实训课程。</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学生通过各项实训深入领会课程设计的基本原理，学会从整体上设计、试行和评价课程教学系统和教学过程，初步具备应用课程教学系统设计的方法解决教学实际问题的能力。</w:t>
      </w:r>
    </w:p>
    <w:p>
      <w:pPr>
        <w:pStyle w:val="63"/>
        <w:spacing w:line="360" w:lineRule="auto"/>
        <w:ind w:firstLine="422"/>
        <w:outlineLvl w:val="0"/>
        <w:rPr>
          <w:color w:val="000000" w:themeColor="text1"/>
          <w:sz w:val="21"/>
          <w:szCs w:val="21"/>
        </w:rPr>
      </w:pPr>
      <w:r>
        <w:rPr>
          <w:rFonts w:hint="eastAsia"/>
          <w:color w:val="000000" w:themeColor="text1"/>
          <w:sz w:val="21"/>
          <w:szCs w:val="21"/>
        </w:rPr>
        <w:t>二、教学内容及教学基本要求</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本</w:t>
      </w:r>
      <w:r>
        <w:rPr>
          <w:rFonts w:ascii="宋体" w:hAnsi="宋体"/>
          <w:color w:val="000000" w:themeColor="text1"/>
          <w:szCs w:val="21"/>
        </w:rPr>
        <w:t>课</w:t>
      </w:r>
      <w:r>
        <w:rPr>
          <w:rFonts w:hint="eastAsia" w:ascii="宋体" w:hAnsi="宋体"/>
          <w:color w:val="000000" w:themeColor="text1"/>
          <w:szCs w:val="21"/>
        </w:rPr>
        <w:t>程课程设计为统领，重点围绕</w:t>
      </w:r>
      <w:r>
        <w:rPr>
          <w:rFonts w:ascii="宋体" w:hAnsi="宋体"/>
          <w:color w:val="000000" w:themeColor="text1"/>
          <w:szCs w:val="21"/>
        </w:rPr>
        <w:t>教学调查与分析</w:t>
      </w:r>
      <w:r>
        <w:rPr>
          <w:rFonts w:hint="eastAsia" w:ascii="宋体" w:hAnsi="宋体"/>
          <w:color w:val="000000" w:themeColor="text1"/>
          <w:szCs w:val="21"/>
        </w:rPr>
        <w:t>、</w:t>
      </w:r>
      <w:r>
        <w:rPr>
          <w:rFonts w:ascii="宋体" w:hAnsi="宋体"/>
          <w:color w:val="000000" w:themeColor="text1"/>
          <w:szCs w:val="21"/>
        </w:rPr>
        <w:t>课堂观察与实践</w:t>
      </w:r>
      <w:r>
        <w:rPr>
          <w:rFonts w:hint="eastAsia" w:ascii="宋体" w:hAnsi="宋体"/>
          <w:color w:val="000000" w:themeColor="text1"/>
          <w:szCs w:val="21"/>
        </w:rPr>
        <w:t>、</w:t>
      </w:r>
      <w:r>
        <w:rPr>
          <w:rFonts w:ascii="宋体" w:hAnsi="宋体"/>
          <w:color w:val="000000" w:themeColor="text1"/>
          <w:szCs w:val="21"/>
        </w:rPr>
        <w:t>教学测试与评估</w:t>
      </w:r>
      <w:r>
        <w:rPr>
          <w:rFonts w:hint="eastAsia" w:ascii="宋体" w:hAnsi="宋体"/>
          <w:color w:val="000000" w:themeColor="text1"/>
          <w:szCs w:val="21"/>
        </w:rPr>
        <w:t>展开实训，</w:t>
      </w:r>
      <w:r>
        <w:rPr>
          <w:rFonts w:ascii="宋体" w:hAnsi="宋体"/>
          <w:color w:val="000000" w:themeColor="text1"/>
          <w:szCs w:val="21"/>
        </w:rPr>
        <w:t>采用</w:t>
      </w:r>
      <w:r>
        <w:rPr>
          <w:rFonts w:hint="eastAsia" w:ascii="宋体" w:hAnsi="宋体"/>
          <w:color w:val="000000" w:themeColor="text1"/>
          <w:szCs w:val="21"/>
        </w:rPr>
        <w:t>要点展示、教师精讲、问题解决、模拟练习、成果展示五步法进行，课堂讲授围绕汉语课程设计</w:t>
      </w:r>
      <w:r>
        <w:rPr>
          <w:rFonts w:ascii="宋体" w:hAnsi="宋体"/>
          <w:color w:val="000000" w:themeColor="text1"/>
          <w:szCs w:val="21"/>
        </w:rPr>
        <w:t>与</w:t>
      </w:r>
      <w:r>
        <w:rPr>
          <w:rFonts w:hint="eastAsia" w:ascii="宋体" w:hAnsi="宋体"/>
          <w:color w:val="000000" w:themeColor="text1"/>
          <w:szCs w:val="21"/>
        </w:rPr>
        <w:t>课程教学，课外进行</w:t>
      </w:r>
      <w:r>
        <w:rPr>
          <w:rFonts w:ascii="宋体" w:hAnsi="宋体"/>
          <w:color w:val="000000" w:themeColor="text1"/>
          <w:szCs w:val="21"/>
        </w:rPr>
        <w:t>相关调查及设计</w:t>
      </w:r>
      <w:r>
        <w:rPr>
          <w:rFonts w:hint="eastAsia" w:ascii="宋体" w:hAnsi="宋体"/>
          <w:color w:val="000000" w:themeColor="text1"/>
          <w:szCs w:val="21"/>
        </w:rPr>
        <w:t>，在课堂上展示设计和分析成果，组织课堂讨论。</w:t>
      </w:r>
    </w:p>
    <w:p>
      <w:pPr>
        <w:ind w:firstLine="420" w:firstLineChars="200"/>
        <w:rPr>
          <w:color w:val="000000" w:themeColor="text1"/>
          <w:szCs w:val="24"/>
        </w:rPr>
      </w:pPr>
    </w:p>
    <w:p>
      <w:pPr>
        <w:ind w:firstLine="420" w:firstLineChars="200"/>
        <w:rPr>
          <w:b/>
          <w:color w:val="000000" w:themeColor="text1"/>
          <w:szCs w:val="24"/>
        </w:rPr>
      </w:pPr>
      <w:r>
        <w:rPr>
          <w:rFonts w:hint="eastAsia"/>
          <w:b/>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第一讲    </w:t>
            </w:r>
            <w:r>
              <w:rPr>
                <w:rFonts w:hint="eastAsia" w:ascii="宋体" w:hAnsi="宋体"/>
                <w:color w:val="000000" w:themeColor="text1"/>
                <w:szCs w:val="21"/>
              </w:rPr>
              <w:t xml:space="preserve">汉语课程设计流程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第二讲    </w:t>
            </w:r>
            <w:r>
              <w:rPr>
                <w:rFonts w:hint="eastAsia" w:ascii="宋体" w:hAnsi="宋体"/>
                <w:color w:val="000000" w:themeColor="text1"/>
                <w:szCs w:val="21"/>
              </w:rPr>
              <w:t>教学对象和教学情景分析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asciiTheme="minorEastAsia" w:hAnsiTheme="minorEastAsia"/>
                <w:bCs/>
                <w:color w:val="000000" w:themeColor="text1"/>
              </w:rPr>
              <w:t>第三讲    教学目标的制定</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第四讲    </w:t>
            </w:r>
            <w:r>
              <w:rPr>
                <w:rFonts w:hint="eastAsia" w:ascii="宋体" w:hAnsi="宋体"/>
                <w:color w:val="000000" w:themeColor="text1"/>
                <w:szCs w:val="21"/>
              </w:rPr>
              <w:t>汉语课程组织和设计</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第五讲   汉语</w:t>
            </w:r>
            <w:r>
              <w:rPr>
                <w:rFonts w:hint="eastAsia" w:ascii="宋体" w:hAnsi="宋体"/>
                <w:color w:val="000000" w:themeColor="text1"/>
                <w:szCs w:val="21"/>
              </w:rPr>
              <w:t>语言测试与教学评估</w:t>
            </w:r>
            <w:r>
              <w:rPr>
                <w:rFonts w:hint="eastAsia" w:asciiTheme="minorEastAsia" w:hAnsiTheme="minorEastAsia"/>
                <w:bCs/>
                <w:color w:val="000000" w:themeColor="text1"/>
              </w:rPr>
              <w:t xml:space="preserve">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48</w:t>
            </w:r>
          </w:p>
        </w:tc>
      </w:tr>
    </w:tbl>
    <w:p>
      <w:pPr>
        <w:pStyle w:val="63"/>
        <w:spacing w:line="360" w:lineRule="auto"/>
        <w:ind w:firstLine="422"/>
        <w:outlineLvl w:val="0"/>
        <w:rPr>
          <w:color w:val="000000" w:themeColor="text1"/>
          <w:sz w:val="21"/>
          <w:szCs w:val="21"/>
        </w:rPr>
      </w:pPr>
      <w:r>
        <w:rPr>
          <w:rFonts w:hint="eastAsia"/>
          <w:color w:val="000000" w:themeColor="text1"/>
          <w:sz w:val="21"/>
          <w:szCs w:val="21"/>
        </w:rPr>
        <w:t>四、课程考核方法及要求</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考核采用平时和期末课程设计作业结合的方式进行，平时成绩包括学习态度、课堂设计分析、课堂内外展示和分析、讨论等占50％，期末课程分析和设计的成绩占50％。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）％；期末考核（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w:t>
      </w:r>
    </w:p>
    <w:p>
      <w:pPr>
        <w:pStyle w:val="63"/>
        <w:spacing w:line="360" w:lineRule="auto"/>
        <w:ind w:firstLine="422"/>
        <w:outlineLvl w:val="0"/>
        <w:rPr>
          <w:color w:val="000000" w:themeColor="text1"/>
          <w:sz w:val="21"/>
          <w:szCs w:val="21"/>
        </w:rPr>
      </w:pPr>
      <w:r>
        <w:rPr>
          <w:rFonts w:hint="eastAsia"/>
          <w:color w:val="000000" w:themeColor="text1"/>
          <w:sz w:val="21"/>
          <w:szCs w:val="21"/>
        </w:rPr>
        <w:t>五、建议教材及参考资料</w:t>
      </w:r>
    </w:p>
    <w:p>
      <w:pPr>
        <w:ind w:firstLine="210" w:firstLineChars="100"/>
        <w:rPr>
          <w:rFonts w:ascii="宋体" w:hAnsi="宋体"/>
          <w:b/>
          <w:color w:val="000000" w:themeColor="text1"/>
          <w:szCs w:val="21"/>
        </w:rPr>
      </w:pPr>
      <w:r>
        <w:rPr>
          <w:rFonts w:hint="eastAsia" w:ascii="宋体" w:hAnsi="宋体"/>
          <w:color w:val="000000" w:themeColor="text1"/>
          <w:szCs w:val="21"/>
        </w:rPr>
        <w:t xml:space="preserve">  </w:t>
      </w:r>
      <w:r>
        <w:rPr>
          <w:rFonts w:hint="eastAsia" w:ascii="宋体" w:hAnsi="宋体"/>
          <w:b/>
          <w:color w:val="000000" w:themeColor="text1"/>
          <w:szCs w:val="21"/>
        </w:rPr>
        <w:t>参考资料：</w:t>
      </w:r>
    </w:p>
    <w:p>
      <w:pPr>
        <w:ind w:firstLine="420" w:firstLineChars="200"/>
        <w:rPr>
          <w:rFonts w:ascii="宋体" w:hAnsi="宋体" w:cs="宋体"/>
          <w:color w:val="000000" w:themeColor="text1"/>
          <w:spacing w:val="8"/>
          <w:szCs w:val="21"/>
        </w:rPr>
      </w:pPr>
      <w:r>
        <w:rPr>
          <w:rFonts w:asciiTheme="minorEastAsia" w:hAnsiTheme="minorEastAsia"/>
          <w:color w:val="000000" w:themeColor="text1"/>
          <w:szCs w:val="21"/>
          <w:shd w:val="clear" w:color="auto" w:fill="FFFFFF"/>
        </w:rPr>
        <w:t>1</w:t>
      </w:r>
      <w:r>
        <w:rPr>
          <w:rFonts w:hint="eastAsia" w:asciiTheme="minorEastAsia" w:hAnsiTheme="minorEastAsia"/>
          <w:color w:val="000000" w:themeColor="text1"/>
          <w:szCs w:val="21"/>
          <w:shd w:val="clear" w:color="auto" w:fill="FFFFFF"/>
        </w:rPr>
        <w:t>.</w:t>
      </w:r>
      <w:r>
        <w:rPr>
          <w:rFonts w:hint="eastAsia" w:ascii="宋体" w:hAnsi="宋体" w:cs="宋体"/>
          <w:color w:val="000000" w:themeColor="text1"/>
          <w:spacing w:val="8"/>
          <w:szCs w:val="21"/>
        </w:rPr>
        <w:t>Renee Campoy《课堂问题分析与解决—成为反思型教师》，中国轻工业出版社，2007年。</w:t>
      </w:r>
    </w:p>
    <w:p>
      <w:pPr>
        <w:ind w:firstLine="420" w:firstLineChars="200"/>
        <w:rPr>
          <w:rFonts w:ascii="宋体" w:hAnsi="宋体" w:cs="宋体"/>
          <w:color w:val="000000" w:themeColor="text1"/>
          <w:szCs w:val="21"/>
        </w:rPr>
      </w:pPr>
      <w:r>
        <w:rPr>
          <w:rFonts w:hint="eastAsia" w:asciiTheme="minorEastAsia" w:hAnsiTheme="minorEastAsia"/>
          <w:color w:val="000000" w:themeColor="text1"/>
          <w:szCs w:val="21"/>
          <w:shd w:val="clear" w:color="auto" w:fill="FFFFFF"/>
        </w:rPr>
        <w:t>2.</w:t>
      </w:r>
      <w:r>
        <w:rPr>
          <w:rFonts w:hint="eastAsia" w:ascii="宋体" w:hAnsi="宋体" w:cs="宋体"/>
          <w:color w:val="000000" w:themeColor="text1"/>
          <w:szCs w:val="21"/>
        </w:rPr>
        <w:t>Ralph W. Tyler《课程与教学的基本原理》，中国轻工业出版社，2008年。</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3.</w:t>
      </w:r>
      <w:r>
        <w:rPr>
          <w:rFonts w:hint="eastAsia" w:ascii="宋体" w:hAnsi="宋体" w:cs="宋体"/>
          <w:color w:val="000000" w:themeColor="text1"/>
          <w:szCs w:val="21"/>
        </w:rPr>
        <w:t>F.迈克尔.康纳利，D.琼.克兰迪宁《教师成为课程研究者—经验叙事》，浙江教育出版社，2004年。</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4.</w:t>
      </w:r>
      <w:r>
        <w:rPr>
          <w:rFonts w:hint="eastAsia" w:ascii="宋体" w:hAnsi="宋体" w:cs="宋体"/>
          <w:color w:val="000000" w:themeColor="text1"/>
          <w:szCs w:val="21"/>
        </w:rPr>
        <w:t>加里• D •鲍里奇《有效教学方法》（第四版），江苏教育出版社，2002年。</w:t>
      </w:r>
      <w:r>
        <w:rPr>
          <w:rFonts w:hint="eastAsia" w:asciiTheme="minorEastAsia" w:hAnsiTheme="minorEastAsia"/>
          <w:color w:val="000000" w:themeColor="text1"/>
          <w:szCs w:val="21"/>
          <w:shd w:val="clear" w:color="auto" w:fill="FFFFFF"/>
        </w:rPr>
        <w:t xml:space="preserve"> </w:t>
      </w:r>
    </w:p>
    <w:p>
      <w:pPr>
        <w:spacing w:line="360" w:lineRule="auto"/>
        <w:ind w:firstLine="420" w:firstLineChars="200"/>
        <w:rPr>
          <w:rFonts w:ascii="宋体" w:hAnsi="宋体" w:cs="宋体"/>
          <w:color w:val="000000" w:themeColor="text1"/>
          <w:szCs w:val="21"/>
        </w:rPr>
      </w:pPr>
      <w:r>
        <w:rPr>
          <w:rFonts w:hint="eastAsia" w:asciiTheme="minorEastAsia" w:hAnsiTheme="minorEastAsia"/>
          <w:color w:val="000000" w:themeColor="text1"/>
          <w:szCs w:val="21"/>
          <w:shd w:val="clear" w:color="auto" w:fill="FFFFFF"/>
        </w:rPr>
        <w:t>5.</w:t>
      </w:r>
      <w:r>
        <w:rPr>
          <w:rFonts w:ascii="宋体" w:hAnsi="宋体" w:cs="宋体"/>
          <w:color w:val="000000" w:themeColor="text1"/>
          <w:szCs w:val="21"/>
        </w:rPr>
        <w:t>闻亭</w:t>
      </w:r>
      <w:r>
        <w:rPr>
          <w:rFonts w:hint="eastAsia" w:ascii="宋体" w:hAnsi="宋体" w:cs="宋体"/>
          <w:color w:val="000000" w:themeColor="text1"/>
          <w:szCs w:val="21"/>
        </w:rPr>
        <w:t>、</w:t>
      </w:r>
      <w:r>
        <w:rPr>
          <w:rFonts w:ascii="宋体" w:hAnsi="宋体" w:cs="宋体"/>
          <w:color w:val="000000" w:themeColor="text1"/>
          <w:szCs w:val="21"/>
        </w:rPr>
        <w:t>常爱军</w:t>
      </w:r>
      <w:r>
        <w:rPr>
          <w:rFonts w:hint="eastAsia" w:ascii="宋体" w:hAnsi="宋体" w:cs="宋体"/>
          <w:color w:val="000000" w:themeColor="text1"/>
          <w:szCs w:val="21"/>
        </w:rPr>
        <w:t>、</w:t>
      </w:r>
      <w:r>
        <w:rPr>
          <w:rFonts w:ascii="宋体" w:hAnsi="宋体" w:cs="宋体"/>
          <w:color w:val="000000" w:themeColor="text1"/>
          <w:szCs w:val="21"/>
        </w:rPr>
        <w:t>原绍锋</w:t>
      </w:r>
      <w:r>
        <w:rPr>
          <w:rFonts w:hint="eastAsia" w:ascii="宋体" w:hAnsi="宋体" w:cs="宋体"/>
          <w:color w:val="000000" w:themeColor="text1"/>
          <w:szCs w:val="21"/>
        </w:rPr>
        <w:t>《国际汉语课堂管理》，高等教育出版社，2013年。</w:t>
      </w:r>
    </w:p>
    <w:p>
      <w:pPr>
        <w:pStyle w:val="65"/>
        <w:spacing w:line="360" w:lineRule="auto"/>
        <w:rPr>
          <w:rFonts w:ascii="宋体" w:hAnsi="宋体" w:eastAsia="宋体"/>
          <w:color w:val="000000" w:themeColor="text1"/>
          <w:szCs w:val="21"/>
        </w:rPr>
      </w:pPr>
    </w:p>
    <w:bookmarkEnd w:id="66"/>
    <w:bookmarkEnd w:id="67"/>
    <w:bookmarkEnd w:id="68"/>
    <w:bookmarkEnd w:id="69"/>
    <w:bookmarkEnd w:id="70"/>
    <w:bookmarkEnd w:id="71"/>
    <w:bookmarkEnd w:id="72"/>
    <w:p>
      <w:pPr>
        <w:adjustRightInd w:val="0"/>
        <w:snapToGrid w:val="0"/>
        <w:spacing w:line="300" w:lineRule="auto"/>
        <w:ind w:firstLine="1920" w:firstLineChars="600"/>
        <w:rPr>
          <w:rFonts w:ascii="仿宋" w:hAnsi="仿宋" w:eastAsia="仿宋"/>
          <w:b/>
          <w:color w:val="000000" w:themeColor="text1"/>
          <w:sz w:val="32"/>
          <w:szCs w:val="32"/>
        </w:rPr>
      </w:pPr>
      <w:bookmarkStart w:id="73" w:name="_Toc213592670"/>
      <w:r>
        <w:rPr>
          <w:rFonts w:hint="eastAsia" w:ascii="仿宋" w:hAnsi="仿宋" w:eastAsia="仿宋"/>
          <w:b/>
          <w:color w:val="000000" w:themeColor="text1"/>
          <w:sz w:val="32"/>
          <w:szCs w:val="32"/>
        </w:rPr>
        <w:br w:type="page"/>
      </w:r>
    </w:p>
    <w:p>
      <w:pPr>
        <w:adjustRightInd w:val="0"/>
        <w:snapToGrid w:val="0"/>
        <w:spacing w:line="300" w:lineRule="auto"/>
        <w:ind w:firstLine="1920" w:firstLineChars="6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68"/>
        <w:spacing w:before="0" w:after="0" w:line="360" w:lineRule="auto"/>
        <w:rPr>
          <w:rFonts w:ascii="宋体" w:hAnsi="宋体" w:eastAsia="宋体"/>
          <w:bCs w:val="0"/>
          <w:color w:val="000000" w:themeColor="text1"/>
          <w:szCs w:val="32"/>
        </w:rPr>
      </w:pPr>
      <w:r>
        <w:rPr>
          <w:rFonts w:hint="eastAsia" w:ascii="宋体" w:hAnsi="宋体" w:eastAsia="宋体"/>
          <w:bCs w:val="0"/>
          <w:color w:val="000000" w:themeColor="text1"/>
          <w:szCs w:val="32"/>
        </w:rPr>
        <w:t>汉外语言对比与偏误分析课程教学大纲</w:t>
      </w:r>
      <w:bookmarkEnd w:id="73"/>
    </w:p>
    <w:p>
      <w:pPr>
        <w:snapToGrid w:val="0"/>
        <w:spacing w:line="360" w:lineRule="auto"/>
        <w:ind w:firstLine="411" w:firstLineChars="196"/>
        <w:rPr>
          <w:rFonts w:ascii="Times New Roman" w:hAnsi="Times New Roman" w:cs="Times New Roman"/>
          <w:b/>
          <w:color w:val="000000" w:themeColor="text1"/>
          <w:szCs w:val="21"/>
        </w:rPr>
      </w:pPr>
    </w:p>
    <w:p>
      <w:pPr>
        <w:snapToGrid w:val="0"/>
        <w:spacing w:line="360" w:lineRule="auto"/>
        <w:ind w:firstLine="411" w:firstLineChars="196"/>
        <w:rPr>
          <w:rFonts w:ascii="Times New Roman" w:hAnsi="Times New Roman" w:eastAsia="宋体" w:cs="Times New Roman"/>
          <w:bCs/>
          <w:color w:val="000000" w:themeColor="text1"/>
          <w:szCs w:val="21"/>
        </w:rPr>
      </w:pPr>
      <w:r>
        <w:rPr>
          <w:rFonts w:ascii="Times New Roman" w:hAnsi="Times New Roman" w:eastAsia="宋体" w:cs="Times New Roman"/>
          <w:b/>
          <w:color w:val="000000" w:themeColor="text1"/>
          <w:szCs w:val="21"/>
        </w:rPr>
        <w:t>课程名称：</w:t>
      </w:r>
      <w:r>
        <w:rPr>
          <w:rFonts w:ascii="Times New Roman" w:hAnsi="Times New Roman" w:eastAsia="宋体" w:cs="Times New Roman"/>
          <w:bCs/>
          <w:color w:val="000000" w:themeColor="text1"/>
          <w:szCs w:val="21"/>
        </w:rPr>
        <w:t>汉外语言对比与偏误分析</w:t>
      </w:r>
    </w:p>
    <w:p>
      <w:pPr>
        <w:pStyle w:val="62"/>
        <w:spacing w:line="360" w:lineRule="auto"/>
        <w:ind w:firstLine="422"/>
        <w:rPr>
          <w:rFonts w:ascii="Times New Roman" w:hAnsi="Times New Roman" w:eastAsia="宋体" w:cs="Times New Roman"/>
          <w:b/>
          <w:color w:val="000000" w:themeColor="text1"/>
          <w:sz w:val="21"/>
          <w:szCs w:val="21"/>
        </w:rPr>
      </w:pPr>
      <w:r>
        <w:rPr>
          <w:rFonts w:ascii="Times New Roman" w:hAnsi="Times New Roman" w:eastAsia="宋体" w:cs="Times New Roman"/>
          <w:b/>
          <w:color w:val="000000" w:themeColor="text1"/>
          <w:sz w:val="21"/>
          <w:szCs w:val="21"/>
        </w:rPr>
        <w:t>课程代码：</w:t>
      </w:r>
      <w:r>
        <w:rPr>
          <w:rFonts w:hint="eastAsia" w:ascii="Times New Roman" w:hAnsi="Times New Roman" w:eastAsia="宋体" w:cs="Times New Roman"/>
          <w:b/>
          <w:color w:val="000000" w:themeColor="text1"/>
          <w:sz w:val="21"/>
          <w:szCs w:val="21"/>
        </w:rPr>
        <w:t>1504532007</w:t>
      </w:r>
    </w:p>
    <w:p>
      <w:pPr>
        <w:pStyle w:val="62"/>
        <w:spacing w:line="360" w:lineRule="auto"/>
        <w:ind w:firstLine="422"/>
        <w:rPr>
          <w:rFonts w:ascii="Times New Roman" w:hAnsi="Times New Roman" w:eastAsia="宋体" w:cs="Times New Roman"/>
          <w:bCs/>
          <w:color w:val="000000" w:themeColor="text1"/>
          <w:sz w:val="21"/>
          <w:szCs w:val="21"/>
        </w:rPr>
      </w:pPr>
      <w:r>
        <w:rPr>
          <w:rFonts w:ascii="Times New Roman" w:hAnsi="Times New Roman" w:eastAsia="宋体" w:cs="Times New Roman"/>
          <w:b/>
          <w:color w:val="000000" w:themeColor="text1"/>
          <w:sz w:val="21"/>
          <w:szCs w:val="21"/>
        </w:rPr>
        <w:t>课程类型：</w:t>
      </w:r>
      <w:r>
        <w:rPr>
          <w:rFonts w:ascii="Times New Roman" w:hAnsi="Times New Roman" w:eastAsia="宋体" w:cs="Times New Roman"/>
          <w:bCs/>
          <w:color w:val="000000" w:themeColor="text1"/>
          <w:sz w:val="21"/>
          <w:szCs w:val="21"/>
        </w:rPr>
        <w:t>扩展课程/汉语知识及教学</w:t>
      </w:r>
    </w:p>
    <w:p>
      <w:pPr>
        <w:pStyle w:val="62"/>
        <w:tabs>
          <w:tab w:val="left" w:pos="3420"/>
        </w:tabs>
        <w:spacing w:line="360" w:lineRule="auto"/>
        <w:ind w:firstLine="422"/>
        <w:rPr>
          <w:rFonts w:ascii="Times New Roman" w:hAnsi="Times New Roman" w:eastAsia="宋体" w:cs="Times New Roman"/>
          <w:bCs/>
          <w:color w:val="000000" w:themeColor="text1"/>
          <w:sz w:val="21"/>
          <w:szCs w:val="21"/>
        </w:rPr>
      </w:pPr>
      <w:r>
        <w:rPr>
          <w:rFonts w:ascii="Times New Roman" w:hAnsi="Times New Roman" w:eastAsia="宋体" w:cs="Times New Roman"/>
          <w:b/>
          <w:color w:val="000000" w:themeColor="text1"/>
          <w:sz w:val="21"/>
          <w:szCs w:val="21"/>
        </w:rPr>
        <w:t>总学时数：</w:t>
      </w:r>
      <w:r>
        <w:rPr>
          <w:rFonts w:hint="eastAsia" w:ascii="Times New Roman" w:hAnsi="Times New Roman" w:eastAsia="宋体" w:cs="Times New Roman"/>
          <w:b/>
          <w:color w:val="000000" w:themeColor="text1"/>
          <w:sz w:val="21"/>
          <w:szCs w:val="21"/>
        </w:rPr>
        <w:t xml:space="preserve"> </w:t>
      </w:r>
      <w:r>
        <w:rPr>
          <w:rFonts w:ascii="Times New Roman" w:hAnsi="Times New Roman" w:eastAsia="宋体" w:cs="Times New Roman"/>
          <w:bCs/>
          <w:color w:val="000000" w:themeColor="text1"/>
          <w:sz w:val="21"/>
          <w:szCs w:val="21"/>
        </w:rPr>
        <w:t>32</w:t>
      </w:r>
    </w:p>
    <w:p>
      <w:pPr>
        <w:pStyle w:val="62"/>
        <w:tabs>
          <w:tab w:val="left" w:pos="3420"/>
        </w:tabs>
        <w:spacing w:line="360" w:lineRule="auto"/>
        <w:ind w:firstLine="382" w:firstLineChars="182"/>
        <w:rPr>
          <w:rFonts w:ascii="Times New Roman" w:hAnsi="Times New Roman" w:eastAsia="宋体" w:cs="Times New Roman"/>
          <w:bCs/>
          <w:color w:val="000000" w:themeColor="text1"/>
          <w:sz w:val="21"/>
          <w:szCs w:val="21"/>
        </w:rPr>
      </w:pPr>
      <w:r>
        <w:rPr>
          <w:rFonts w:ascii="Times New Roman" w:hAnsi="Times New Roman" w:eastAsia="宋体" w:cs="Times New Roman"/>
          <w:b/>
          <w:color w:val="000000" w:themeColor="text1"/>
          <w:sz w:val="21"/>
          <w:szCs w:val="21"/>
        </w:rPr>
        <w:t>学    分：</w:t>
      </w:r>
      <w:r>
        <w:rPr>
          <w:rFonts w:hint="eastAsia" w:ascii="Times New Roman" w:hAnsi="Times New Roman" w:eastAsia="宋体" w:cs="Times New Roman"/>
          <w:b/>
          <w:color w:val="000000" w:themeColor="text1"/>
          <w:sz w:val="21"/>
          <w:szCs w:val="21"/>
        </w:rPr>
        <w:t xml:space="preserve"> </w:t>
      </w:r>
      <w:r>
        <w:rPr>
          <w:rFonts w:ascii="Times New Roman" w:hAnsi="Times New Roman" w:eastAsia="宋体" w:cs="Times New Roman"/>
          <w:bCs/>
          <w:color w:val="000000" w:themeColor="text1"/>
          <w:sz w:val="21"/>
          <w:szCs w:val="21"/>
        </w:rPr>
        <w:t xml:space="preserve"> 2 </w:t>
      </w:r>
    </w:p>
    <w:p>
      <w:pPr>
        <w:pStyle w:val="62"/>
        <w:spacing w:line="360" w:lineRule="auto"/>
        <w:ind w:firstLine="422"/>
        <w:rPr>
          <w:rFonts w:ascii="Times New Roman" w:hAnsi="Times New Roman" w:eastAsia="宋体" w:cs="Times New Roman"/>
          <w:bCs/>
          <w:color w:val="000000" w:themeColor="text1"/>
          <w:sz w:val="21"/>
          <w:szCs w:val="21"/>
        </w:rPr>
      </w:pPr>
      <w:r>
        <w:rPr>
          <w:rFonts w:ascii="Times New Roman" w:hAnsi="Times New Roman" w:eastAsia="宋体" w:cs="Times New Roman"/>
          <w:b/>
          <w:color w:val="000000" w:themeColor="text1"/>
          <w:sz w:val="21"/>
          <w:szCs w:val="21"/>
        </w:rPr>
        <w:t>开课单位：</w:t>
      </w:r>
      <w:r>
        <w:rPr>
          <w:rFonts w:ascii="Times New Roman" w:hAnsi="Times New Roman" w:eastAsia="宋体" w:cs="Times New Roman"/>
          <w:bCs/>
          <w:color w:val="000000" w:themeColor="text1"/>
          <w:sz w:val="21"/>
          <w:szCs w:val="21"/>
        </w:rPr>
        <w:t xml:space="preserve">人文与国际教育学院 </w:t>
      </w:r>
    </w:p>
    <w:p>
      <w:pPr>
        <w:pStyle w:val="63"/>
        <w:spacing w:before="0" w:after="0" w:line="360" w:lineRule="auto"/>
        <w:ind w:firstLine="422"/>
        <w:rPr>
          <w:rFonts w:ascii="Times New Roman" w:hAnsi="Times New Roman" w:eastAsia="宋体" w:cs="Times New Roman"/>
          <w:b w:val="0"/>
          <w:color w:val="000000" w:themeColor="text1"/>
          <w:sz w:val="21"/>
          <w:szCs w:val="21"/>
        </w:rPr>
      </w:pPr>
      <w:r>
        <w:rPr>
          <w:rFonts w:ascii="Times New Roman" w:hAnsi="Times New Roman" w:eastAsia="宋体" w:cs="Times New Roman"/>
          <w:bCs w:val="0"/>
          <w:color w:val="000000" w:themeColor="text1"/>
          <w:sz w:val="21"/>
          <w:szCs w:val="21"/>
        </w:rPr>
        <w:t>面向学科：</w:t>
      </w:r>
      <w:r>
        <w:rPr>
          <w:rFonts w:ascii="Times New Roman" w:hAnsi="Times New Roman" w:eastAsia="宋体" w:cs="Times New Roman"/>
          <w:b w:val="0"/>
          <w:color w:val="000000" w:themeColor="text1"/>
          <w:sz w:val="21"/>
          <w:szCs w:val="21"/>
        </w:rPr>
        <w:t>汉语国际教育硕士</w:t>
      </w:r>
    </w:p>
    <w:p>
      <w:pPr>
        <w:pStyle w:val="63"/>
        <w:spacing w:before="0" w:after="0" w:line="360" w:lineRule="auto"/>
        <w:rPr>
          <w:rFonts w:ascii="Times New Roman" w:hAnsi="Times New Roman" w:eastAsia="宋体" w:cs="Times New Roman"/>
          <w:b w:val="0"/>
          <w:color w:val="000000" w:themeColor="text1"/>
          <w:sz w:val="21"/>
          <w:szCs w:val="21"/>
        </w:rPr>
      </w:pPr>
      <w:r>
        <w:rPr>
          <w:rFonts w:ascii="Times New Roman" w:hAnsi="Times New Roman" w:eastAsia="宋体" w:cs="Times New Roman"/>
          <w:bCs w:val="0"/>
          <w:color w:val="000000" w:themeColor="text1"/>
          <w:szCs w:val="24"/>
        </w:rPr>
        <w:t>一、课程的性质、目的和任务</w:t>
      </w:r>
    </w:p>
    <w:p>
      <w:pPr>
        <w:snapToGrid w:val="0"/>
        <w:spacing w:line="360" w:lineRule="auto"/>
        <w:ind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言对比与偏误分析》为汉语国际教育专业硕士学位研究生的选修课程，讲授汉英语对比的基本理论和基本方法。通过本课程的教学，使学生系统了解汉英语的共性和个性特征，了解汉英语简史，从宏观和微观两个角度把握两种语言的结构规律，以提高学生英汉语言应用能力，同时，培养学生观察和发现值得研究的问题并付诸研究的能力，为以后从事相关工作和研究打好基础。</w:t>
      </w:r>
    </w:p>
    <w:p>
      <w:pPr>
        <w:pStyle w:val="63"/>
        <w:spacing w:before="0" w:after="0" w:line="360" w:lineRule="auto"/>
        <w:rPr>
          <w:rFonts w:ascii="Times New Roman" w:hAnsi="Times New Roman" w:eastAsia="宋体" w:cs="Times New Roman"/>
          <w:b w:val="0"/>
          <w:color w:val="000000" w:themeColor="text1"/>
          <w:kern w:val="0"/>
          <w:sz w:val="21"/>
          <w:szCs w:val="21"/>
        </w:rPr>
      </w:pPr>
      <w:r>
        <w:rPr>
          <w:rFonts w:ascii="Times New Roman" w:hAnsi="Times New Roman" w:eastAsia="宋体" w:cs="Times New Roman"/>
          <w:bCs w:val="0"/>
          <w:color w:val="000000" w:themeColor="text1"/>
          <w:szCs w:val="24"/>
        </w:rPr>
        <w:t>二、教学内容、教学基本要求</w:t>
      </w:r>
    </w:p>
    <w:p>
      <w:pPr>
        <w:pStyle w:val="63"/>
        <w:spacing w:before="0" w:after="0" w:line="360" w:lineRule="auto"/>
        <w:ind w:firstLine="420"/>
        <w:rPr>
          <w:rFonts w:ascii="Times New Roman" w:hAnsi="Times New Roman" w:eastAsia="宋体" w:cs="Times New Roman"/>
          <w:b w:val="0"/>
          <w:color w:val="000000" w:themeColor="text1"/>
          <w:sz w:val="21"/>
          <w:szCs w:val="21"/>
        </w:rPr>
      </w:pPr>
      <w:r>
        <w:rPr>
          <w:rFonts w:ascii="Times New Roman" w:hAnsi="Times New Roman" w:eastAsia="宋体" w:cs="Times New Roman"/>
          <w:b w:val="0"/>
          <w:color w:val="000000" w:themeColor="text1"/>
          <w:kern w:val="0"/>
          <w:sz w:val="21"/>
          <w:szCs w:val="21"/>
        </w:rPr>
        <w:t>本课程开设一个学期，结合对外汉语专业的特点，</w:t>
      </w:r>
      <w:r>
        <w:rPr>
          <w:rFonts w:ascii="Times New Roman" w:hAnsi="Times New Roman" w:eastAsia="宋体" w:cs="Times New Roman"/>
          <w:b w:val="0"/>
          <w:color w:val="000000" w:themeColor="text1"/>
          <w:sz w:val="21"/>
          <w:szCs w:val="21"/>
        </w:rPr>
        <w:t>适当介绍国内外汉外语言对比研究及语言类型学研究的新成果；</w:t>
      </w:r>
      <w:r>
        <w:rPr>
          <w:rFonts w:ascii="Times New Roman" w:hAnsi="Times New Roman" w:eastAsia="宋体" w:cs="Times New Roman"/>
          <w:b w:val="0"/>
          <w:color w:val="000000" w:themeColor="text1"/>
          <w:kern w:val="0"/>
          <w:sz w:val="21"/>
          <w:szCs w:val="21"/>
        </w:rPr>
        <w:t>力求贯彻理论联系实际的原则，介绍汉外语言文字、语音、词汇、语法、语用、篇章、修辞等各要素的相同点和不同点。具体内容包括：</w:t>
      </w:r>
      <w:r>
        <w:rPr>
          <w:rFonts w:ascii="Times New Roman" w:hAnsi="Times New Roman" w:eastAsia="宋体" w:cs="Times New Roman"/>
          <w:b w:val="0"/>
          <w:color w:val="000000" w:themeColor="text1"/>
          <w:sz w:val="21"/>
          <w:szCs w:val="21"/>
        </w:rPr>
        <w:t>汉外语言对比的意义、汉外语言对比的方法和步骤；汉语的字法与英语等的词法、汉外语言文字的发展和改革；语音系统的基本特征、音位系统对比、超音段音位对比、节奏与韵律对比；词汇的输入与输出、 构词法对比、词义对比、近义词反义词对比、熟语格式对比；基本语法特征对比、 语言基本单位对比、句子结构对比、语序的宏观对比、虚词对比；语篇黏连性对比、语篇连贯性对比、言语行为对比；常用修辞手段对比、颜色词对比、 动植物喻词对比、委婉语对比、拟声词对比等。</w:t>
      </w:r>
    </w:p>
    <w:p>
      <w:pPr>
        <w:pStyle w:val="63"/>
        <w:spacing w:before="0" w:after="0" w:line="360" w:lineRule="auto"/>
        <w:ind w:firstLine="420"/>
        <w:rPr>
          <w:rFonts w:ascii="Times New Roman" w:hAnsi="Times New Roman" w:eastAsia="宋体" w:cs="Times New Roman"/>
          <w:b w:val="0"/>
          <w:color w:val="000000" w:themeColor="text1"/>
          <w:sz w:val="21"/>
          <w:szCs w:val="21"/>
        </w:rPr>
      </w:pPr>
      <w:r>
        <w:rPr>
          <w:rFonts w:ascii="Times New Roman" w:hAnsi="Times New Roman" w:eastAsia="宋体" w:cs="Times New Roman"/>
          <w:b w:val="0"/>
          <w:color w:val="000000" w:themeColor="text1"/>
          <w:kern w:val="0"/>
          <w:sz w:val="21"/>
          <w:szCs w:val="21"/>
        </w:rPr>
        <w:t>以课堂教师讲授为主，适当辅以课堂讨论和练习。</w:t>
      </w:r>
    </w:p>
    <w:p>
      <w:pPr>
        <w:pStyle w:val="63"/>
        <w:spacing w:before="0" w:after="0" w:line="360" w:lineRule="auto"/>
        <w:rPr>
          <w:rFonts w:ascii="Times New Roman" w:hAnsi="Times New Roman" w:eastAsia="宋体" w:cs="Times New Roman"/>
          <w:bCs w:val="0"/>
          <w:color w:val="000000" w:themeColor="text1"/>
          <w:szCs w:val="24"/>
        </w:rPr>
      </w:pPr>
      <w:r>
        <w:rPr>
          <w:rFonts w:ascii="Times New Roman" w:hAnsi="Times New Roman" w:eastAsia="宋体" w:cs="Times New Roman"/>
          <w:bCs w:val="0"/>
          <w:color w:val="000000" w:themeColor="text1"/>
          <w:szCs w:val="24"/>
        </w:rPr>
        <w:t>三、学时分配表</w:t>
      </w:r>
    </w:p>
    <w:tbl>
      <w:tblPr>
        <w:tblStyle w:val="30"/>
        <w:tblW w:w="817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590"/>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序号</w:t>
            </w:r>
          </w:p>
        </w:tc>
        <w:tc>
          <w:tcPr>
            <w:tcW w:w="3590"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课程内容</w:t>
            </w:r>
          </w:p>
        </w:tc>
        <w:tc>
          <w:tcPr>
            <w:tcW w:w="3360" w:type="dxa"/>
            <w:vAlign w:val="center"/>
          </w:tcPr>
          <w:p>
            <w:pPr>
              <w:snapToGrid w:val="0"/>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课内学时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1</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汉外语言对比概述</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2</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汉外语言文字对比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3</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汉外语音对比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4</w:t>
            </w:r>
          </w:p>
        </w:tc>
        <w:tc>
          <w:tcPr>
            <w:tcW w:w="3590" w:type="dxa"/>
            <w:vAlign w:val="center"/>
          </w:tcPr>
          <w:p>
            <w:pPr>
              <w:widowControl/>
              <w:spacing w:line="360" w:lineRule="auto"/>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汉外词汇对比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5</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汉外语法对比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6</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汉外篇章与语用对比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226" w:type="dxa"/>
            <w:vAlign w:val="center"/>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7</w:t>
            </w:r>
          </w:p>
        </w:tc>
        <w:tc>
          <w:tcPr>
            <w:tcW w:w="3590" w:type="dxa"/>
            <w:vAlign w:val="center"/>
          </w:tcPr>
          <w:p>
            <w:pPr>
              <w:widowControl/>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汉外语言修辞与语言文化对比</w:t>
            </w:r>
          </w:p>
        </w:tc>
        <w:tc>
          <w:tcPr>
            <w:tcW w:w="3360" w:type="dxa"/>
          </w:tcPr>
          <w:p>
            <w:pPr>
              <w:widowControl/>
              <w:spacing w:line="360" w:lineRule="auto"/>
              <w:jc w:val="center"/>
              <w:rPr>
                <w:rFonts w:ascii="Times New Roman" w:hAnsi="Times New Roman" w:eastAsia="宋体" w:cs="Times New Roman"/>
                <w:bCs/>
                <w:color w:val="000000" w:themeColor="text1"/>
                <w:kern w:val="0"/>
                <w:szCs w:val="21"/>
              </w:rPr>
            </w:pPr>
            <w:r>
              <w:rPr>
                <w:rFonts w:ascii="Times New Roman" w:hAnsi="Times New Roman" w:eastAsia="宋体" w:cs="Times New Roman"/>
                <w:bCs/>
                <w:color w:val="000000" w:themeColor="text1"/>
                <w:kern w:val="0"/>
                <w:szCs w:val="21"/>
              </w:rPr>
              <w:t>4</w:t>
            </w:r>
          </w:p>
        </w:tc>
      </w:tr>
    </w:tbl>
    <w:p>
      <w:pPr>
        <w:pStyle w:val="63"/>
        <w:spacing w:before="0" w:after="0" w:line="360" w:lineRule="auto"/>
        <w:ind w:firstLine="240" w:firstLineChars="100"/>
        <w:outlineLvl w:val="0"/>
        <w:rPr>
          <w:rFonts w:ascii="Times New Roman" w:hAnsi="Times New Roman" w:eastAsia="宋体" w:cs="Times New Roman"/>
          <w:bCs w:val="0"/>
          <w:color w:val="000000" w:themeColor="text1"/>
          <w:szCs w:val="24"/>
        </w:rPr>
      </w:pPr>
      <w:r>
        <w:rPr>
          <w:rFonts w:ascii="Times New Roman" w:hAnsi="Times New Roman" w:eastAsia="宋体" w:cs="Times New Roman"/>
          <w:bCs w:val="0"/>
          <w:color w:val="000000" w:themeColor="text1"/>
          <w:szCs w:val="24"/>
        </w:rPr>
        <w:t>四、课程考核方法及要求</w:t>
      </w:r>
    </w:p>
    <w:p>
      <w:pPr>
        <w:pStyle w:val="64"/>
        <w:spacing w:line="360" w:lineRule="auto"/>
        <w:ind w:firstLine="840" w:firstLineChars="4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1．考核方式：考试（）；考查（√）</w:t>
      </w:r>
    </w:p>
    <w:p>
      <w:pPr>
        <w:spacing w:line="360" w:lineRule="auto"/>
        <w:ind w:left="420" w:leftChars="200"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 xml:space="preserve">考核采用平时阶段性作业检测和期末撰写课程论文相结合的方式进行，平时成绩包括学习态度、课后习题、读书报告、课堂内外讨论等占40％，期末课程论文占60％。 </w:t>
      </w:r>
    </w:p>
    <w:p>
      <w:pPr>
        <w:pStyle w:val="64"/>
        <w:spacing w:line="360" w:lineRule="auto"/>
        <w:ind w:firstLine="840" w:firstLineChars="4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2．成绩评定：</w:t>
      </w:r>
    </w:p>
    <w:p>
      <w:pPr>
        <w:pStyle w:val="65"/>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计分制：百分制（√）；五级分制（）；两级分制（）</w:t>
      </w:r>
    </w:p>
    <w:p>
      <w:pPr>
        <w:pStyle w:val="65"/>
        <w:spacing w:line="360" w:lineRule="auto"/>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总评成绩构成：平时考核（40）％；期末课程论文（60）％</w:t>
      </w:r>
    </w:p>
    <w:p>
      <w:pPr>
        <w:pStyle w:val="63"/>
        <w:spacing w:before="0" w:after="0" w:line="360" w:lineRule="auto"/>
        <w:ind w:firstLine="240" w:firstLineChars="100"/>
        <w:outlineLvl w:val="0"/>
        <w:rPr>
          <w:rFonts w:ascii="Times New Roman" w:hAnsi="Times New Roman" w:eastAsia="宋体" w:cs="Times New Roman"/>
          <w:bCs w:val="0"/>
          <w:color w:val="000000" w:themeColor="text1"/>
          <w:szCs w:val="24"/>
        </w:rPr>
      </w:pPr>
      <w:r>
        <w:rPr>
          <w:rFonts w:ascii="Times New Roman" w:hAnsi="Times New Roman" w:eastAsia="宋体" w:cs="Times New Roman"/>
          <w:bCs w:val="0"/>
          <w:color w:val="000000" w:themeColor="text1"/>
          <w:szCs w:val="24"/>
        </w:rPr>
        <w:t>五、建议教材及参考资料</w:t>
      </w:r>
    </w:p>
    <w:p>
      <w:pPr>
        <w:pStyle w:val="63"/>
        <w:spacing w:before="0" w:after="0" w:line="360" w:lineRule="auto"/>
        <w:ind w:firstLine="630" w:firstLineChars="300"/>
        <w:outlineLvl w:val="0"/>
        <w:rPr>
          <w:rFonts w:ascii="Times New Roman" w:hAnsi="Times New Roman" w:eastAsia="宋体" w:cs="Times New Roman"/>
          <w:bCs w:val="0"/>
          <w:color w:val="000000" w:themeColor="text1"/>
          <w:sz w:val="21"/>
          <w:szCs w:val="21"/>
        </w:rPr>
      </w:pPr>
      <w:r>
        <w:rPr>
          <w:rFonts w:ascii="Times New Roman" w:hAnsi="Times New Roman" w:eastAsia="宋体" w:cs="Times New Roman"/>
          <w:bCs w:val="0"/>
          <w:color w:val="000000" w:themeColor="text1"/>
          <w:sz w:val="21"/>
          <w:szCs w:val="21"/>
        </w:rPr>
        <w:t>建议教材：</w:t>
      </w:r>
    </w:p>
    <w:p>
      <w:pPr>
        <w:pStyle w:val="63"/>
        <w:spacing w:before="0" w:after="0" w:line="360" w:lineRule="auto"/>
        <w:ind w:firstLine="630" w:firstLineChars="300"/>
        <w:rPr>
          <w:rFonts w:ascii="Times New Roman" w:hAnsi="Times New Roman" w:eastAsia="宋体" w:cs="Times New Roman"/>
          <w:b w:val="0"/>
          <w:color w:val="000000" w:themeColor="text1"/>
          <w:sz w:val="21"/>
          <w:szCs w:val="21"/>
        </w:rPr>
      </w:pPr>
      <w:r>
        <w:rPr>
          <w:rFonts w:ascii="Times New Roman" w:hAnsi="Times New Roman" w:eastAsia="宋体" w:cs="Times New Roman"/>
          <w:b w:val="0"/>
          <w:color w:val="000000" w:themeColor="text1"/>
          <w:sz w:val="21"/>
          <w:szCs w:val="21"/>
        </w:rPr>
        <w:t>连淑能著，2010，《英汉对比研究》（增订本），高等教育出版社</w:t>
      </w:r>
    </w:p>
    <w:p>
      <w:pPr>
        <w:snapToGrid w:val="0"/>
        <w:spacing w:line="360" w:lineRule="auto"/>
        <w:ind w:firstLine="630" w:firstLineChars="300"/>
        <w:rPr>
          <w:rFonts w:ascii="Times New Roman" w:hAnsi="Times New Roman" w:eastAsia="宋体" w:cs="Times New Roman"/>
          <w:b/>
          <w:color w:val="000000" w:themeColor="text1"/>
          <w:szCs w:val="21"/>
        </w:rPr>
      </w:pPr>
      <w:r>
        <w:rPr>
          <w:rFonts w:ascii="Times New Roman" w:hAnsi="Times New Roman" w:eastAsia="宋体" w:cs="Times New Roman"/>
          <w:b/>
          <w:color w:val="000000" w:themeColor="text1"/>
          <w:szCs w:val="21"/>
        </w:rPr>
        <w:t>参考资料：</w:t>
      </w:r>
    </w:p>
    <w:p>
      <w:pPr>
        <w:numPr>
          <w:ilvl w:val="0"/>
          <w:numId w:val="4"/>
        </w:numPr>
        <w:snapToGrid w:val="0"/>
        <w:spacing w:line="360" w:lineRule="auto"/>
        <w:ind w:firstLine="735" w:firstLineChars="35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潘文国主编，2013，《汉英语言对比概论》，商务印书馆。</w:t>
      </w:r>
    </w:p>
    <w:p>
      <w:pPr>
        <w:snapToGrid w:val="0"/>
        <w:spacing w:line="360" w:lineRule="auto"/>
        <w:ind w:firstLine="735" w:firstLineChars="35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2. 杨自俭、李瑞华，1990/1997，《英汉对比研究论文集》（1977-1989），上海教育出版社。</w:t>
      </w:r>
    </w:p>
    <w:p>
      <w:pPr>
        <w:snapToGrid w:val="0"/>
        <w:spacing w:line="360" w:lineRule="auto"/>
        <w:ind w:firstLine="735" w:firstLineChars="35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3. 李瑞华主编，1996/1997《英汉语言文化对比研究》（1990-1994），上海外语教育出版社。</w:t>
      </w:r>
    </w:p>
    <w:p>
      <w:pPr>
        <w:snapToGrid w:val="0"/>
        <w:spacing w:line="360" w:lineRule="auto"/>
        <w:ind w:firstLine="735" w:firstLineChars="35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4. 王建勤主编（赵金铭总主编），2006，《汉语作为第二语言的学习者语言系统研究》，商务印书馆。</w:t>
      </w:r>
    </w:p>
    <w:p>
      <w:pPr>
        <w:pStyle w:val="63"/>
        <w:spacing w:before="0" w:after="0" w:line="360" w:lineRule="auto"/>
        <w:rPr>
          <w:rFonts w:ascii="Times New Roman" w:hAnsi="Times New Roman" w:eastAsia="黑体" w:cs="Times New Roman"/>
          <w:bCs w:val="0"/>
          <w:color w:val="000000" w:themeColor="text1"/>
          <w:szCs w:val="24"/>
        </w:rPr>
      </w:pPr>
      <w:r>
        <w:rPr>
          <w:rFonts w:ascii="Times New Roman" w:hAnsi="Times New Roman" w:cs="Times New Roman"/>
          <w:color w:val="000000" w:themeColor="text1"/>
          <w:szCs w:val="24"/>
        </w:rPr>
        <w:t>六、大纲说明</w:t>
      </w:r>
    </w:p>
    <w:p>
      <w:pPr>
        <w:snapToGrid w:val="0"/>
        <w:spacing w:line="360" w:lineRule="auto"/>
        <w:ind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本课程学生课外自主学习围绕各章教学的重点和难点展开，学生必须研读前五个年度的：</w:t>
      </w:r>
    </w:p>
    <w:p>
      <w:pPr>
        <w:snapToGrid w:val="0"/>
        <w:spacing w:line="360" w:lineRule="auto"/>
        <w:ind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《世界汉语教学》（北京语言大学）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 xml:space="preserve"> 《语言教学与研究》（北京语言大学）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《华文教学与研究》（暨南大学）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《对外汉语研究》（上海师范大学）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《国际汉语学报》（厦门大学）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《海外华文教学》（厦门大学）</w:t>
      </w:r>
    </w:p>
    <w:p>
      <w:pPr>
        <w:snapToGrid w:val="0"/>
        <w:spacing w:line="360" w:lineRule="auto"/>
        <w:ind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《国际汉语教学研究》（北京语言大学）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《国际汉语》（中山大学）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《汉语应用语言学研究》（北京语言大学）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《国际汉语教育》（北京外国语大学）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《汉语国际传播研究》（中央民族大学）</w:t>
      </w:r>
      <w:r>
        <w:rPr>
          <w:rFonts w:hint="eastAsia" w:ascii="Times New Roman" w:hAnsi="Times New Roman" w:eastAsia="宋体" w:cs="Times New Roman"/>
          <w:bCs/>
          <w:color w:val="000000" w:themeColor="text1"/>
          <w:szCs w:val="21"/>
        </w:rPr>
        <w:t>、</w:t>
      </w:r>
      <w:r>
        <w:rPr>
          <w:rFonts w:ascii="Times New Roman" w:hAnsi="Times New Roman" w:eastAsia="宋体" w:cs="Times New Roman"/>
          <w:bCs/>
          <w:color w:val="000000" w:themeColor="text1"/>
          <w:szCs w:val="21"/>
        </w:rPr>
        <w:t>《汉语学习》（延边大学）</w:t>
      </w:r>
    </w:p>
    <w:p>
      <w:pPr>
        <w:snapToGrid w:val="0"/>
        <w:spacing w:line="360" w:lineRule="auto"/>
        <w:ind w:firstLine="420" w:firstLineChars="200"/>
        <w:rPr>
          <w:rFonts w:ascii="Times New Roman" w:hAnsi="Times New Roman" w:eastAsia="宋体" w:cs="Times New Roman"/>
          <w:bCs/>
          <w:color w:val="000000" w:themeColor="text1"/>
          <w:szCs w:val="21"/>
        </w:rPr>
      </w:pPr>
      <w:r>
        <w:rPr>
          <w:rFonts w:ascii="Times New Roman" w:hAnsi="Times New Roman" w:eastAsia="宋体" w:cs="Times New Roman"/>
          <w:bCs/>
          <w:color w:val="000000" w:themeColor="text1"/>
          <w:szCs w:val="21"/>
        </w:rPr>
        <w:t>完成教材分析、写作汉英文字、词汇、语法等比较与偏误分析的专题小论文，拓展和巩固课堂所学内容。课程考核：提交一篇不少于5000字的专题论文或专题研究综述。</w:t>
      </w:r>
    </w:p>
    <w:p>
      <w:pPr>
        <w:snapToGrid w:val="0"/>
        <w:spacing w:line="360" w:lineRule="auto"/>
        <w:ind w:firstLine="420" w:firstLineChars="200"/>
        <w:rPr>
          <w:rFonts w:ascii="Times New Roman" w:hAnsi="Times New Roman" w:eastAsia="宋体" w:cs="Times New Roman"/>
          <w:bCs/>
          <w:color w:val="000000" w:themeColor="text1"/>
          <w:szCs w:val="21"/>
        </w:rPr>
      </w:pPr>
    </w:p>
    <w:p>
      <w:pPr>
        <w:pStyle w:val="2"/>
        <w:spacing w:line="360" w:lineRule="auto"/>
        <w:rPr>
          <w:color w:val="000000" w:themeColor="text1"/>
          <w:sz w:val="32"/>
          <w:szCs w:val="32"/>
        </w:rPr>
      </w:pPr>
      <w:r>
        <w:rPr>
          <w:rFonts w:hint="eastAsia"/>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汉语语言学导论课程教学大纲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 xml:space="preserve">：汉语语言学导论 </w:t>
      </w:r>
      <w:r>
        <w:rPr>
          <w:color w:val="000000" w:themeColor="text1"/>
          <w:sz w:val="21"/>
          <w:szCs w:val="21"/>
        </w:rPr>
        <w:t xml:space="preserve">  </w:t>
      </w:r>
    </w:p>
    <w:p>
      <w:pPr>
        <w:pStyle w:val="62"/>
        <w:spacing w:line="360" w:lineRule="auto"/>
        <w:ind w:firstLine="422"/>
        <w:rPr>
          <w:rFonts w:ascii="宋体" w:hAnsi="宋体"/>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w:t>
      </w:r>
      <w:r>
        <w:rPr>
          <w:rFonts w:hint="eastAsia" w:ascii="宋体" w:hAnsi="宋体"/>
          <w:color w:val="000000" w:themeColor="text1"/>
          <w:sz w:val="21"/>
          <w:szCs w:val="21"/>
        </w:rPr>
        <w:t>1504532006</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：学科学位课/选修</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pStyle w:val="65"/>
        <w:spacing w:line="360" w:lineRule="auto"/>
        <w:rPr>
          <w:color w:val="000000" w:themeColor="text1"/>
          <w:szCs w:val="21"/>
        </w:rPr>
      </w:pPr>
      <w:r>
        <w:rPr>
          <w:rFonts w:hint="eastAsia"/>
          <w:color w:val="000000" w:themeColor="text1"/>
          <w:szCs w:val="21"/>
        </w:rPr>
        <w:t>《汉语语言学导论》是汉语国际教育专业硕士学位扩展课程之一，是针对对外汉语教学的一门选修性基础理论课程。本课程用比较和描写的方法从理论上介绍汉语的基本规则、基本原理和基础知识。课程描述和分析客观存在的汉语言事实，通过汉语语言事实的描述和分析，探讨并揭示汉语的发展规律，以此指导人们的对外汉语语言实践，使人们更好地掌握和使用汉语，让汉语在人类生活的各个方面产生更大的效益。</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5"/>
        <w:spacing w:line="360" w:lineRule="auto"/>
        <w:rPr>
          <w:color w:val="000000" w:themeColor="text1"/>
          <w:szCs w:val="21"/>
        </w:rPr>
      </w:pPr>
      <w:r>
        <w:rPr>
          <w:rFonts w:hint="eastAsia"/>
          <w:color w:val="000000" w:themeColor="text1"/>
          <w:szCs w:val="21"/>
        </w:rPr>
        <w:t>1．进一步提高学生掌握和运用汉语语言的能力。</w:t>
      </w:r>
    </w:p>
    <w:p>
      <w:pPr>
        <w:pStyle w:val="65"/>
        <w:spacing w:line="360" w:lineRule="auto"/>
        <w:rPr>
          <w:color w:val="000000" w:themeColor="text1"/>
          <w:szCs w:val="21"/>
        </w:rPr>
      </w:pPr>
      <w:r>
        <w:rPr>
          <w:color w:val="000000" w:themeColor="text1"/>
          <w:szCs w:val="21"/>
        </w:rPr>
        <w:t>2</w:t>
      </w:r>
      <w:r>
        <w:rPr>
          <w:rFonts w:hint="eastAsia"/>
          <w:color w:val="000000" w:themeColor="text1"/>
          <w:szCs w:val="21"/>
        </w:rPr>
        <w:t>．培养学生运用汉语语言理论解释分析汉语语言现象的能力。</w:t>
      </w:r>
    </w:p>
    <w:p>
      <w:pPr>
        <w:pStyle w:val="65"/>
        <w:spacing w:line="360" w:lineRule="auto"/>
        <w:rPr>
          <w:color w:val="000000" w:themeColor="text1"/>
          <w:szCs w:val="21"/>
        </w:rPr>
      </w:pPr>
      <w:r>
        <w:rPr>
          <w:color w:val="000000" w:themeColor="text1"/>
          <w:szCs w:val="21"/>
        </w:rPr>
        <w:t>3</w:t>
      </w:r>
      <w:r>
        <w:rPr>
          <w:rFonts w:hint="eastAsia"/>
          <w:color w:val="000000" w:themeColor="text1"/>
          <w:szCs w:val="21"/>
        </w:rPr>
        <w:t>．为今后从事对外汉语教学和研究工作，或在汉语语言学其他方面继续深造奠定理论基础。</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第一讲</w:t>
            </w:r>
            <w:r>
              <w:rPr>
                <w:rFonts w:hint="eastAsia" w:cs="宋体"/>
                <w:color w:val="000000" w:themeColor="text1"/>
                <w:szCs w:val="21"/>
              </w:rPr>
              <w:t xml:space="preserve"> </w:t>
            </w:r>
            <w:r>
              <w:rPr>
                <w:rFonts w:hint="eastAsia"/>
                <w:color w:val="000000" w:themeColor="text1"/>
              </w:rPr>
              <w:t>汉语言语言学的性质与作用</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第二讲</w:t>
            </w:r>
            <w:r>
              <w:rPr>
                <w:rFonts w:hint="eastAsia" w:cs="宋体"/>
                <w:color w:val="000000" w:themeColor="text1"/>
                <w:szCs w:val="21"/>
              </w:rPr>
              <w:t xml:space="preserve"> 汉语语言学的学科发展</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第三讲</w:t>
            </w:r>
            <w:r>
              <w:rPr>
                <w:rFonts w:hint="eastAsia" w:cs="宋体"/>
                <w:color w:val="000000" w:themeColor="text1"/>
                <w:szCs w:val="21"/>
              </w:rPr>
              <w:t xml:space="preserve"> </w:t>
            </w:r>
            <w:r>
              <w:rPr>
                <w:rFonts w:hint="eastAsia"/>
                <w:color w:val="000000" w:themeColor="text1"/>
              </w:rPr>
              <w:t>汉语语音学基础理论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第四讲</w:t>
            </w:r>
            <w:r>
              <w:rPr>
                <w:rFonts w:hint="eastAsia" w:cs="宋体"/>
                <w:color w:val="000000" w:themeColor="text1"/>
                <w:szCs w:val="21"/>
              </w:rPr>
              <w:t xml:space="preserve"> </w:t>
            </w:r>
            <w:r>
              <w:rPr>
                <w:rFonts w:hint="eastAsia"/>
                <w:color w:val="000000" w:themeColor="text1"/>
              </w:rPr>
              <w:t>汉语词汇学基础理论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第五讲</w:t>
            </w:r>
            <w:r>
              <w:rPr>
                <w:rFonts w:hint="eastAsia" w:cs="宋体"/>
                <w:color w:val="000000" w:themeColor="text1"/>
                <w:szCs w:val="21"/>
              </w:rPr>
              <w:t xml:space="preserve"> </w:t>
            </w:r>
            <w:r>
              <w:rPr>
                <w:rFonts w:hint="eastAsia"/>
                <w:color w:val="000000" w:themeColor="text1"/>
              </w:rPr>
              <w:t>汉语语义学基础理论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第六讲</w:t>
            </w:r>
            <w:r>
              <w:rPr>
                <w:rFonts w:hint="eastAsia" w:cs="宋体"/>
                <w:color w:val="000000" w:themeColor="text1"/>
                <w:szCs w:val="21"/>
              </w:rPr>
              <w:t xml:space="preserve"> </w:t>
            </w:r>
            <w:r>
              <w:rPr>
                <w:rFonts w:hint="eastAsia"/>
                <w:color w:val="000000" w:themeColor="text1"/>
              </w:rPr>
              <w:t>汉语语法学历史与发展</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第七讲</w:t>
            </w:r>
            <w:r>
              <w:rPr>
                <w:rFonts w:hint="eastAsia"/>
                <w:color w:val="000000" w:themeColor="text1"/>
              </w:rPr>
              <w:t xml:space="preserve"> 汉语语法学基础理论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第八讲</w:t>
            </w:r>
            <w:r>
              <w:rPr>
                <w:rFonts w:hint="eastAsia" w:cs="宋体"/>
                <w:color w:val="000000" w:themeColor="text1"/>
                <w:szCs w:val="21"/>
              </w:rPr>
              <w:t xml:space="preserve"> 汉语语用学基础理论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总评成绩构成：平时考核（4</w:t>
      </w:r>
      <w:r>
        <w:rPr>
          <w:color w:val="000000" w:themeColor="text1"/>
        </w:rPr>
        <w:t>0</w:t>
      </w:r>
      <w:r>
        <w:rPr>
          <w:rFonts w:hint="eastAsia"/>
          <w:color w:val="000000" w:themeColor="text1"/>
        </w:rPr>
        <w:t>）％；期末考核（6</w:t>
      </w:r>
      <w:r>
        <w:rPr>
          <w:color w:val="000000" w:themeColor="text1"/>
        </w:rPr>
        <w:t>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参考资料：</w:t>
      </w:r>
    </w:p>
    <w:p>
      <w:pPr>
        <w:pStyle w:val="67"/>
        <w:numPr>
          <w:ilvl w:val="0"/>
          <w:numId w:val="2"/>
        </w:numPr>
        <w:spacing w:line="360" w:lineRule="auto"/>
        <w:ind w:firstLineChars="0"/>
        <w:rPr>
          <w:color w:val="000000" w:themeColor="text1"/>
        </w:rPr>
      </w:pPr>
      <w:r>
        <w:rPr>
          <w:rFonts w:hint="eastAsia"/>
          <w:color w:val="000000" w:themeColor="text1"/>
        </w:rPr>
        <w:t>冯志伟《现代语言学流派（增订本）》，商务印书馆2013</w:t>
      </w:r>
    </w:p>
    <w:p>
      <w:pPr>
        <w:pStyle w:val="67"/>
        <w:numPr>
          <w:ilvl w:val="0"/>
          <w:numId w:val="2"/>
        </w:numPr>
        <w:spacing w:line="360" w:lineRule="auto"/>
        <w:ind w:firstLineChars="0"/>
        <w:rPr>
          <w:color w:val="000000" w:themeColor="text1"/>
        </w:rPr>
      </w:pPr>
      <w:r>
        <w:rPr>
          <w:rFonts w:hint="eastAsia"/>
          <w:color w:val="000000" w:themeColor="text1"/>
        </w:rPr>
        <w:t>林涛 王理嘉《语音学教程》，北京语言大学出版社1992</w:t>
      </w:r>
    </w:p>
    <w:p>
      <w:pPr>
        <w:pStyle w:val="67"/>
        <w:numPr>
          <w:ilvl w:val="0"/>
          <w:numId w:val="2"/>
        </w:numPr>
        <w:spacing w:line="360" w:lineRule="auto"/>
        <w:ind w:firstLineChars="0"/>
        <w:rPr>
          <w:color w:val="000000" w:themeColor="text1"/>
        </w:rPr>
      </w:pPr>
      <w:r>
        <w:rPr>
          <w:rFonts w:hint="eastAsia"/>
          <w:color w:val="000000" w:themeColor="text1"/>
        </w:rPr>
        <w:t>唐作藩《音韵学教程（第四版）》，北京语言大学出版社2013</w:t>
      </w:r>
    </w:p>
    <w:p>
      <w:pPr>
        <w:pStyle w:val="67"/>
        <w:numPr>
          <w:ilvl w:val="0"/>
          <w:numId w:val="2"/>
        </w:numPr>
        <w:spacing w:line="360" w:lineRule="auto"/>
        <w:ind w:firstLineChars="0"/>
        <w:rPr>
          <w:color w:val="000000" w:themeColor="text1"/>
        </w:rPr>
      </w:pPr>
      <w:r>
        <w:rPr>
          <w:rFonts w:hint="eastAsia"/>
          <w:color w:val="000000" w:themeColor="text1"/>
        </w:rPr>
        <w:t>武占坤 王勤《现代汉语词汇概要》，外语教学与研究出版社出版2009</w:t>
      </w:r>
    </w:p>
    <w:p>
      <w:pPr>
        <w:pStyle w:val="70"/>
        <w:numPr>
          <w:ilvl w:val="0"/>
          <w:numId w:val="2"/>
        </w:numPr>
        <w:spacing w:line="360" w:lineRule="auto"/>
        <w:ind w:firstLineChars="0"/>
        <w:rPr>
          <w:color w:val="000000" w:themeColor="text1"/>
        </w:rPr>
      </w:pPr>
      <w:r>
        <w:rPr>
          <w:rFonts w:hint="eastAsia"/>
          <w:color w:val="000000" w:themeColor="text1"/>
        </w:rPr>
        <w:t>董秀芳《词汇化：</w:t>
      </w:r>
      <w:r>
        <w:rPr>
          <w:color w:val="000000" w:themeColor="text1"/>
        </w:rPr>
        <w:t>汉语双音词的衍生和发展</w:t>
      </w:r>
      <w:r>
        <w:rPr>
          <w:rFonts w:hint="eastAsia"/>
          <w:color w:val="000000" w:themeColor="text1"/>
        </w:rPr>
        <w:t>》，商务印书馆2011</w:t>
      </w:r>
    </w:p>
    <w:p>
      <w:pPr>
        <w:pStyle w:val="67"/>
        <w:numPr>
          <w:ilvl w:val="0"/>
          <w:numId w:val="2"/>
        </w:numPr>
        <w:spacing w:line="360" w:lineRule="auto"/>
        <w:ind w:firstLineChars="0"/>
        <w:rPr>
          <w:color w:val="000000" w:themeColor="text1"/>
        </w:rPr>
      </w:pPr>
      <w:r>
        <w:rPr>
          <w:rFonts w:hint="eastAsia"/>
          <w:color w:val="000000" w:themeColor="text1"/>
        </w:rPr>
        <w:t>贾彦德《汉语语义学》，北京语言大学出版社1999</w:t>
      </w:r>
    </w:p>
    <w:p>
      <w:pPr>
        <w:pStyle w:val="67"/>
        <w:numPr>
          <w:ilvl w:val="0"/>
          <w:numId w:val="2"/>
        </w:numPr>
        <w:spacing w:line="360" w:lineRule="auto"/>
        <w:ind w:firstLineChars="0"/>
        <w:rPr>
          <w:color w:val="000000" w:themeColor="text1"/>
        </w:rPr>
      </w:pPr>
      <w:r>
        <w:rPr>
          <w:rFonts w:hint="eastAsia"/>
          <w:color w:val="000000" w:themeColor="text1"/>
        </w:rPr>
        <w:t>陆俭明 沈阳《汉语和汉语研究十五讲》，北京语言大学出版社2004</w:t>
      </w:r>
    </w:p>
    <w:p>
      <w:pPr>
        <w:pStyle w:val="67"/>
        <w:numPr>
          <w:ilvl w:val="0"/>
          <w:numId w:val="2"/>
        </w:numPr>
        <w:spacing w:line="360" w:lineRule="auto"/>
        <w:ind w:firstLineChars="0"/>
        <w:rPr>
          <w:color w:val="000000" w:themeColor="text1"/>
        </w:rPr>
      </w:pPr>
      <w:r>
        <w:rPr>
          <w:rFonts w:hint="eastAsia" w:ascii="Arial" w:hAnsi="Arial" w:cs="Arial"/>
          <w:color w:val="000000" w:themeColor="text1"/>
          <w:szCs w:val="21"/>
          <w:shd w:val="clear" w:color="auto" w:fill="FFFFFF"/>
        </w:rPr>
        <w:t>沈家煊</w:t>
      </w:r>
      <w:r>
        <w:rPr>
          <w:rFonts w:hint="eastAsia"/>
          <w:color w:val="000000" w:themeColor="text1"/>
        </w:rPr>
        <w:t>《语法六讲》，商务印书馆2011</w:t>
      </w:r>
    </w:p>
    <w:p>
      <w:pPr>
        <w:pStyle w:val="70"/>
        <w:numPr>
          <w:ilvl w:val="0"/>
          <w:numId w:val="2"/>
        </w:numPr>
        <w:spacing w:line="360" w:lineRule="auto"/>
        <w:ind w:firstLineChars="0"/>
        <w:rPr>
          <w:color w:val="000000" w:themeColor="text1"/>
        </w:rPr>
      </w:pPr>
      <w:r>
        <w:rPr>
          <w:rFonts w:hint="eastAsia"/>
          <w:color w:val="000000" w:themeColor="text1"/>
        </w:rPr>
        <w:t>陆俭明《现代汉语语法研究教程（第四版）》，北京语言大学出版社2013</w:t>
      </w:r>
    </w:p>
    <w:p>
      <w:pPr>
        <w:pStyle w:val="70"/>
        <w:numPr>
          <w:ilvl w:val="0"/>
          <w:numId w:val="2"/>
        </w:numPr>
        <w:spacing w:line="360" w:lineRule="auto"/>
        <w:ind w:firstLineChars="0"/>
        <w:rPr>
          <w:color w:val="000000" w:themeColor="text1"/>
        </w:rPr>
      </w:pPr>
      <w:r>
        <w:rPr>
          <w:rFonts w:hint="eastAsia"/>
          <w:color w:val="000000" w:themeColor="text1"/>
        </w:rPr>
        <w:t>索振羽《语用学教程》，北京语言大学出版社2000</w:t>
      </w:r>
    </w:p>
    <w:p>
      <w:pPr>
        <w:pStyle w:val="70"/>
        <w:spacing w:line="360" w:lineRule="auto"/>
        <w:ind w:left="420" w:firstLine="0" w:firstLineChars="0"/>
        <w:rPr>
          <w:color w:val="000000" w:themeColor="text1"/>
        </w:rPr>
      </w:pPr>
    </w:p>
    <w:p>
      <w:pPr>
        <w:pStyle w:val="64"/>
        <w:spacing w:line="360" w:lineRule="auto"/>
        <w:ind w:firstLine="0" w:firstLineChars="0"/>
        <w:rPr>
          <w:color w:val="000000" w:themeColor="text1"/>
        </w:rPr>
      </w:pPr>
    </w:p>
    <w:p>
      <w:pPr>
        <w:pStyle w:val="2"/>
        <w:spacing w:line="360" w:lineRule="auto"/>
        <w:rPr>
          <w:color w:val="000000" w:themeColor="text1"/>
          <w:sz w:val="32"/>
          <w:szCs w:val="32"/>
        </w:rPr>
      </w:pPr>
      <w:r>
        <w:rPr>
          <w:rFonts w:hint="eastAsia"/>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欧美语言文化</w:t>
      </w:r>
      <w:r>
        <w:rPr>
          <w:color w:val="000000" w:themeColor="text1"/>
          <w:sz w:val="32"/>
          <w:szCs w:val="32"/>
        </w:rPr>
        <w:t>研究</w:t>
      </w:r>
      <w:r>
        <w:rPr>
          <w:rFonts w:hint="eastAsia"/>
          <w:color w:val="000000" w:themeColor="text1"/>
          <w:sz w:val="32"/>
          <w:szCs w:val="32"/>
        </w:rPr>
        <w:t>课程教学大纲</w:t>
      </w:r>
    </w:p>
    <w:p>
      <w:pPr>
        <w:pStyle w:val="62"/>
        <w:adjustRightInd w:val="0"/>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：欧美语言文化</w:t>
      </w:r>
      <w:r>
        <w:rPr>
          <w:color w:val="000000" w:themeColor="text1"/>
          <w:sz w:val="21"/>
          <w:szCs w:val="21"/>
        </w:rPr>
        <w:t xml:space="preserve">研究   </w:t>
      </w:r>
    </w:p>
    <w:p>
      <w:pPr>
        <w:pStyle w:val="62"/>
        <w:adjustRightInd w:val="0"/>
        <w:spacing w:line="360" w:lineRule="auto"/>
        <w:ind w:firstLine="422"/>
        <w:rPr>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w:t>
      </w:r>
      <w:r>
        <w:rPr>
          <w:color w:val="000000" w:themeColor="text1"/>
          <w:sz w:val="21"/>
          <w:szCs w:val="21"/>
        </w:rPr>
        <w:t>1011</w:t>
      </w:r>
    </w:p>
    <w:p>
      <w:pPr>
        <w:pStyle w:val="62"/>
        <w:adjustRightInd w:val="0"/>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：学科学位课/选修</w:t>
      </w:r>
    </w:p>
    <w:p>
      <w:pPr>
        <w:pStyle w:val="62"/>
        <w:adjustRightInd w:val="0"/>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adjustRightInd w:val="0"/>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adjustRightInd w:val="0"/>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adjustRightInd w:val="0"/>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adjustRightInd w:val="0"/>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adjustRightInd w:val="0"/>
        <w:spacing w:before="0" w:after="0" w:line="360" w:lineRule="auto"/>
        <w:outlineLvl w:val="0"/>
        <w:rPr>
          <w:color w:val="000000" w:themeColor="text1"/>
          <w:szCs w:val="24"/>
        </w:rPr>
      </w:pPr>
      <w:r>
        <w:rPr>
          <w:rFonts w:hint="eastAsia"/>
          <w:color w:val="000000" w:themeColor="text1"/>
          <w:szCs w:val="24"/>
        </w:rPr>
        <w:t>一、课程的性质、目的和任务</w:t>
      </w:r>
    </w:p>
    <w:p>
      <w:pPr>
        <w:widowControl/>
        <w:adjustRightInd w:val="0"/>
        <w:spacing w:line="360" w:lineRule="auto"/>
        <w:ind w:firstLine="310" w:firstLineChars="148"/>
        <w:jc w:val="left"/>
        <w:rPr>
          <w:rFonts w:cs="宋体"/>
          <w:color w:val="000000" w:themeColor="text1"/>
          <w:szCs w:val="21"/>
        </w:rPr>
      </w:pPr>
      <w:r>
        <w:rPr>
          <w:rFonts w:hint="eastAsia" w:cs="宋体"/>
          <w:color w:val="000000" w:themeColor="text1"/>
          <w:szCs w:val="21"/>
        </w:rPr>
        <w:t>《欧美语言文化</w:t>
      </w:r>
      <w:r>
        <w:rPr>
          <w:rFonts w:cs="宋体"/>
          <w:color w:val="000000" w:themeColor="text1"/>
          <w:szCs w:val="21"/>
        </w:rPr>
        <w:t>研究</w:t>
      </w:r>
      <w:r>
        <w:rPr>
          <w:rFonts w:hint="eastAsia" w:cs="宋体"/>
          <w:color w:val="000000" w:themeColor="text1"/>
          <w:szCs w:val="21"/>
        </w:rPr>
        <w:t>》是汉语国际教育专业硕士扩展选修课程之一，既不单纯研究语言，也不专门探讨文化，而是着眼于探讨语言与文化深层次上的相互依赖、相互影响关系的一门课程。本课程通过</w:t>
      </w:r>
      <w:r>
        <w:rPr>
          <w:rFonts w:hint="eastAsia"/>
          <w:color w:val="000000" w:themeColor="text1"/>
          <w:szCs w:val="21"/>
        </w:rPr>
        <w:t>不同历史时期的</w:t>
      </w:r>
      <w:r>
        <w:rPr>
          <w:rFonts w:hint="eastAsia" w:cs="宋体"/>
          <w:color w:val="000000" w:themeColor="text1"/>
          <w:szCs w:val="21"/>
        </w:rPr>
        <w:t>语言和文化现象引导学生</w:t>
      </w:r>
      <w:r>
        <w:rPr>
          <w:rFonts w:hint="eastAsia"/>
          <w:color w:val="000000" w:themeColor="text1"/>
          <w:szCs w:val="21"/>
        </w:rPr>
        <w:t>探究</w:t>
      </w:r>
      <w:r>
        <w:rPr>
          <w:rFonts w:hint="eastAsia" w:cs="宋体"/>
          <w:color w:val="000000" w:themeColor="text1"/>
          <w:szCs w:val="21"/>
        </w:rPr>
        <w:t>欧美语言</w:t>
      </w:r>
      <w:r>
        <w:rPr>
          <w:rFonts w:hint="eastAsia"/>
          <w:color w:val="000000" w:themeColor="text1"/>
          <w:szCs w:val="21"/>
        </w:rPr>
        <w:t>的文化内涵</w:t>
      </w:r>
      <w:r>
        <w:rPr>
          <w:rFonts w:hint="eastAsia" w:cs="宋体"/>
          <w:color w:val="000000" w:themeColor="text1"/>
          <w:szCs w:val="21"/>
        </w:rPr>
        <w:t>和</w:t>
      </w:r>
      <w:r>
        <w:rPr>
          <w:rFonts w:hint="eastAsia"/>
          <w:color w:val="000000" w:themeColor="text1"/>
          <w:szCs w:val="21"/>
        </w:rPr>
        <w:t>欧美</w:t>
      </w:r>
      <w:r>
        <w:rPr>
          <w:rFonts w:hint="eastAsia" w:cs="宋体"/>
          <w:color w:val="000000" w:themeColor="text1"/>
          <w:szCs w:val="21"/>
        </w:rPr>
        <w:t>文化</w:t>
      </w:r>
      <w:r>
        <w:rPr>
          <w:rFonts w:hint="eastAsia"/>
          <w:color w:val="000000" w:themeColor="text1"/>
          <w:szCs w:val="21"/>
        </w:rPr>
        <w:t>的本质内容。通过教学使学生</w:t>
      </w:r>
      <w:r>
        <w:rPr>
          <w:rFonts w:hint="eastAsia" w:cs="宋体"/>
          <w:color w:val="000000" w:themeColor="text1"/>
          <w:szCs w:val="21"/>
        </w:rPr>
        <w:t>掌握语言和文化研究基本方法，了解欧美语言文化概况与历史发展过程，把握其本质特征，并进一步加深对本国文化的认知。</w:t>
      </w:r>
    </w:p>
    <w:p>
      <w:pPr>
        <w:pStyle w:val="63"/>
        <w:adjustRightInd w:val="0"/>
        <w:spacing w:before="0" w:after="0" w:line="360" w:lineRule="auto"/>
        <w:outlineLvl w:val="0"/>
        <w:rPr>
          <w:color w:val="000000" w:themeColor="text1"/>
          <w:szCs w:val="24"/>
        </w:rPr>
      </w:pPr>
      <w:r>
        <w:rPr>
          <w:rFonts w:hint="eastAsia"/>
          <w:color w:val="000000" w:themeColor="text1"/>
          <w:szCs w:val="24"/>
        </w:rPr>
        <w:t xml:space="preserve"> 二、教学内容及教学基本要求</w:t>
      </w:r>
    </w:p>
    <w:p>
      <w:pPr>
        <w:adjustRightInd w:val="0"/>
        <w:spacing w:line="360" w:lineRule="auto"/>
        <w:ind w:firstLine="420" w:firstLineChars="200"/>
        <w:rPr>
          <w:rFonts w:ascii="宋体" w:hAnsi="宋体" w:cs="宋体"/>
          <w:color w:val="000000" w:themeColor="text1"/>
          <w:kern w:val="0"/>
          <w:szCs w:val="21"/>
        </w:rPr>
      </w:pPr>
      <w:r>
        <w:rPr>
          <w:rFonts w:hint="eastAsia" w:ascii="宋体" w:hAnsi="宋体" w:cs="宋体"/>
          <w:color w:val="000000" w:themeColor="text1"/>
          <w:kern w:val="0"/>
          <w:szCs w:val="21"/>
        </w:rPr>
        <w:t>本课程开设半个学期，结合对外汉语专业的特点，</w:t>
      </w:r>
      <w:r>
        <w:rPr>
          <w:rFonts w:hint="eastAsia"/>
          <w:color w:val="000000" w:themeColor="text1"/>
          <w:szCs w:val="21"/>
        </w:rPr>
        <w:t>适当介绍语言与文化的关系、欧美文化的范畴、语言与古希腊文明、古罗马文明、基督教文明、文艺复兴、宗教改革、启蒙运动以及美国文化的密切关联。</w:t>
      </w:r>
      <w:r>
        <w:rPr>
          <w:rFonts w:hint="eastAsia" w:ascii="宋体" w:hAnsi="宋体" w:cs="宋体"/>
          <w:color w:val="000000" w:themeColor="text1"/>
          <w:kern w:val="0"/>
          <w:szCs w:val="21"/>
        </w:rPr>
        <w:t>力求将理论与实例相结合，通过列举身边的文化差异案例，加深学生对欧美文化与中国文化的异同的理解与认知，实现对中国文化和欧美文化的深层学习。</w:t>
      </w:r>
    </w:p>
    <w:p>
      <w:pPr>
        <w:adjustRightInd w:val="0"/>
        <w:spacing w:line="360" w:lineRule="auto"/>
        <w:ind w:firstLine="420" w:firstLineChars="200"/>
        <w:rPr>
          <w:bCs/>
          <w:color w:val="000000" w:themeColor="text1"/>
          <w:kern w:val="0"/>
          <w:szCs w:val="21"/>
        </w:rPr>
      </w:pPr>
      <w:r>
        <w:rPr>
          <w:rFonts w:hint="eastAsia" w:ascii="宋体" w:hAnsi="宋体" w:cs="宋体"/>
          <w:color w:val="000000" w:themeColor="text1"/>
          <w:kern w:val="0"/>
          <w:szCs w:val="21"/>
        </w:rPr>
        <w:t>以课堂教师讲授为主，适当辅以课后小组讨论、课堂汇报和读书心得等。</w:t>
      </w:r>
    </w:p>
    <w:p>
      <w:pPr>
        <w:pStyle w:val="63"/>
        <w:adjustRightInd w:val="0"/>
        <w:spacing w:before="0" w:after="0" w:line="360" w:lineRule="auto"/>
        <w:outlineLvl w:val="0"/>
        <w:rPr>
          <w:color w:val="000000" w:themeColor="text1"/>
          <w:szCs w:val="24"/>
        </w:rPr>
      </w:pPr>
      <w:r>
        <w:rPr>
          <w:rFonts w:hint="eastAsia"/>
          <w:color w:val="000000" w:themeColor="text1"/>
          <w:szCs w:val="24"/>
        </w:rPr>
        <w:t>三、学时分配表</w:t>
      </w:r>
    </w:p>
    <w:p>
      <w:pPr>
        <w:pStyle w:val="63"/>
        <w:adjustRightInd w:val="0"/>
        <w:spacing w:before="0" w:after="0" w:line="360" w:lineRule="auto"/>
        <w:outlineLvl w:val="0"/>
        <w:rPr>
          <w:color w:val="000000" w:themeColor="text1"/>
          <w:szCs w:val="24"/>
        </w:rPr>
      </w:pP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363"/>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序号</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课程内容</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1</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第一讲</w:t>
            </w:r>
            <w:r>
              <w:rPr>
                <w:rFonts w:hint="eastAsia" w:cs="宋体"/>
                <w:color w:val="000000" w:themeColor="text1"/>
                <w:szCs w:val="21"/>
              </w:rPr>
              <w:t xml:space="preserve"> </w:t>
            </w:r>
            <w:r>
              <w:rPr>
                <w:rFonts w:hint="eastAsia"/>
                <w:color w:val="000000" w:themeColor="text1"/>
              </w:rPr>
              <w:t>语言与</w:t>
            </w:r>
            <w:r>
              <w:rPr>
                <w:color w:val="000000" w:themeColor="text1"/>
              </w:rPr>
              <w:t>文化、欧美</w:t>
            </w:r>
            <w:r>
              <w:rPr>
                <w:rFonts w:hint="eastAsia"/>
                <w:color w:val="000000" w:themeColor="text1"/>
              </w:rPr>
              <w:t>文化</w:t>
            </w:r>
            <w:r>
              <w:rPr>
                <w:color w:val="000000" w:themeColor="text1"/>
              </w:rPr>
              <w:t>概述</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第二讲</w:t>
            </w:r>
            <w:r>
              <w:rPr>
                <w:rFonts w:hint="eastAsia" w:cs="宋体"/>
                <w:color w:val="000000" w:themeColor="text1"/>
                <w:szCs w:val="21"/>
              </w:rPr>
              <w:t xml:space="preserve"> 语言与</w:t>
            </w:r>
            <w:r>
              <w:rPr>
                <w:rFonts w:cs="宋体"/>
                <w:color w:val="000000" w:themeColor="text1"/>
                <w:szCs w:val="21"/>
              </w:rPr>
              <w:t>古希腊文明</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3</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第三讲</w:t>
            </w:r>
            <w:r>
              <w:rPr>
                <w:rFonts w:hint="eastAsia" w:cs="宋体"/>
                <w:color w:val="000000" w:themeColor="text1"/>
                <w:szCs w:val="21"/>
              </w:rPr>
              <w:t xml:space="preserve"> </w:t>
            </w:r>
            <w:r>
              <w:rPr>
                <w:rFonts w:hint="eastAsia"/>
                <w:color w:val="000000" w:themeColor="text1"/>
              </w:rPr>
              <w:t>语言与</w:t>
            </w:r>
            <w:r>
              <w:rPr>
                <w:color w:val="000000" w:themeColor="text1"/>
              </w:rPr>
              <w:t>古罗马文明</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4</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第四讲</w:t>
            </w:r>
            <w:r>
              <w:rPr>
                <w:rFonts w:hint="eastAsia" w:cs="宋体"/>
                <w:color w:val="000000" w:themeColor="text1"/>
                <w:szCs w:val="21"/>
              </w:rPr>
              <w:t xml:space="preserve"> </w:t>
            </w:r>
            <w:r>
              <w:rPr>
                <w:rFonts w:hint="eastAsia"/>
                <w:color w:val="000000" w:themeColor="text1"/>
              </w:rPr>
              <w:t>语言与</w:t>
            </w:r>
            <w:r>
              <w:rPr>
                <w:color w:val="000000" w:themeColor="text1"/>
              </w:rPr>
              <w:t>中世纪基督教文明</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5</w:t>
            </w:r>
          </w:p>
        </w:tc>
        <w:tc>
          <w:tcPr>
            <w:tcW w:w="536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rPr>
                <w:color w:val="000000" w:themeColor="text1"/>
              </w:rPr>
            </w:pPr>
            <w:r>
              <w:rPr>
                <w:color w:val="000000" w:themeColor="text1"/>
              </w:rPr>
              <w:t>第五讲</w:t>
            </w:r>
            <w:r>
              <w:rPr>
                <w:rFonts w:hint="eastAsia"/>
                <w:color w:val="000000" w:themeColor="text1"/>
              </w:rPr>
              <w:t xml:space="preserve"> 从近代到当代：文艺复兴、宗教改革、启蒙运动</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6</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第六讲</w:t>
            </w:r>
            <w:r>
              <w:rPr>
                <w:rFonts w:hint="eastAsia" w:cs="宋体"/>
                <w:color w:val="000000" w:themeColor="text1"/>
                <w:szCs w:val="21"/>
              </w:rPr>
              <w:t xml:space="preserve"> </w:t>
            </w:r>
            <w:r>
              <w:rPr>
                <w:rFonts w:hint="eastAsia"/>
                <w:color w:val="000000" w:themeColor="text1"/>
              </w:rPr>
              <w:t>谈谈美国</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7</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rPr>
                <w:rFonts w:cs="宋体"/>
                <w:color w:val="000000" w:themeColor="text1"/>
                <w:szCs w:val="21"/>
              </w:rPr>
            </w:pPr>
            <w:r>
              <w:rPr>
                <w:rFonts w:cs="宋体"/>
                <w:color w:val="000000" w:themeColor="text1"/>
                <w:szCs w:val="21"/>
              </w:rPr>
              <w:t>第七讲</w:t>
            </w:r>
            <w:r>
              <w:rPr>
                <w:rFonts w:hint="eastAsia"/>
                <w:color w:val="000000" w:themeColor="text1"/>
              </w:rPr>
              <w:t xml:space="preserve"> 小组作业展示</w:t>
            </w: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hint="eastAsia" w:cs="宋体"/>
                <w:color w:val="000000" w:themeColor="text1"/>
                <w:szCs w:val="21"/>
              </w:rPr>
              <w:t>合计</w:t>
            </w:r>
          </w:p>
        </w:tc>
        <w:tc>
          <w:tcPr>
            <w:tcW w:w="5363"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p>
        </w:tc>
        <w:tc>
          <w:tcPr>
            <w:tcW w:w="161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360" w:lineRule="auto"/>
              <w:jc w:val="center"/>
              <w:rPr>
                <w:rFonts w:cs="宋体"/>
                <w:color w:val="000000" w:themeColor="text1"/>
                <w:szCs w:val="21"/>
              </w:rPr>
            </w:pPr>
            <w:r>
              <w:rPr>
                <w:rFonts w:cs="宋体"/>
                <w:color w:val="000000" w:themeColor="text1"/>
                <w:szCs w:val="21"/>
              </w:rPr>
              <w:t>16</w:t>
            </w:r>
          </w:p>
        </w:tc>
      </w:tr>
    </w:tbl>
    <w:p>
      <w:pPr>
        <w:pStyle w:val="63"/>
        <w:adjustRightInd w:val="0"/>
        <w:spacing w:before="0" w:after="0" w:line="360" w:lineRule="auto"/>
        <w:outlineLvl w:val="0"/>
        <w:rPr>
          <w:color w:val="000000" w:themeColor="text1"/>
          <w:szCs w:val="24"/>
        </w:rPr>
      </w:pPr>
      <w:r>
        <w:rPr>
          <w:rFonts w:hint="eastAsia"/>
          <w:color w:val="000000" w:themeColor="text1"/>
          <w:szCs w:val="24"/>
        </w:rPr>
        <w:t>四、课程考核方法及要求</w:t>
      </w:r>
    </w:p>
    <w:p>
      <w:pPr>
        <w:pStyle w:val="64"/>
        <w:adjustRightInd w:val="0"/>
        <w:spacing w:line="360" w:lineRule="auto"/>
        <w:rPr>
          <w:color w:val="000000" w:themeColor="text1"/>
        </w:rPr>
      </w:pPr>
      <w:r>
        <w:rPr>
          <w:color w:val="000000" w:themeColor="text1"/>
        </w:rPr>
        <w:t>1</w:t>
      </w:r>
      <w:r>
        <w:rPr>
          <w:rFonts w:hint="eastAsia"/>
          <w:color w:val="000000" w:themeColor="text1"/>
        </w:rPr>
        <w:t>．考核方式：考试（）；考查（√）</w:t>
      </w:r>
    </w:p>
    <w:p>
      <w:pPr>
        <w:pStyle w:val="64"/>
        <w:adjustRightInd w:val="0"/>
        <w:spacing w:line="360" w:lineRule="auto"/>
        <w:ind w:firstLine="735" w:firstLineChars="350"/>
        <w:rPr>
          <w:color w:val="000000" w:themeColor="text1"/>
        </w:rPr>
      </w:pPr>
      <w:r>
        <w:rPr>
          <w:rFonts w:hint="eastAsia" w:ascii="宋体" w:hAnsi="宋体"/>
          <w:color w:val="000000" w:themeColor="text1"/>
          <w:szCs w:val="21"/>
        </w:rPr>
        <w:t>考核由平时形成性评价和期末考核构成。</w:t>
      </w:r>
    </w:p>
    <w:p>
      <w:pPr>
        <w:pStyle w:val="64"/>
        <w:adjustRightInd w:val="0"/>
        <w:spacing w:line="360" w:lineRule="auto"/>
        <w:rPr>
          <w:color w:val="000000" w:themeColor="text1"/>
        </w:rPr>
      </w:pPr>
      <w:r>
        <w:rPr>
          <w:color w:val="000000" w:themeColor="text1"/>
        </w:rPr>
        <w:t>2</w:t>
      </w:r>
      <w:r>
        <w:rPr>
          <w:rFonts w:hint="eastAsia"/>
          <w:color w:val="000000" w:themeColor="text1"/>
        </w:rPr>
        <w:t>．成绩评定：</w:t>
      </w:r>
    </w:p>
    <w:p>
      <w:pPr>
        <w:pStyle w:val="65"/>
        <w:adjustRightInd w:val="0"/>
        <w:spacing w:line="360" w:lineRule="auto"/>
        <w:rPr>
          <w:color w:val="000000" w:themeColor="text1"/>
        </w:rPr>
      </w:pPr>
      <w:r>
        <w:rPr>
          <w:rFonts w:hint="eastAsia"/>
          <w:color w:val="000000" w:themeColor="text1"/>
        </w:rPr>
        <w:t>计分制：百分制（√）；五级分制（）；两级分制（）</w:t>
      </w:r>
    </w:p>
    <w:p>
      <w:pPr>
        <w:pStyle w:val="65"/>
        <w:adjustRightInd w:val="0"/>
        <w:spacing w:line="360" w:lineRule="auto"/>
        <w:rPr>
          <w:color w:val="000000" w:themeColor="text1"/>
        </w:rPr>
      </w:pPr>
      <w:r>
        <w:rPr>
          <w:rFonts w:hint="eastAsia"/>
          <w:color w:val="000000" w:themeColor="text1"/>
        </w:rPr>
        <w:t>总评成绩构成：平时考核（3</w:t>
      </w:r>
      <w:r>
        <w:rPr>
          <w:color w:val="000000" w:themeColor="text1"/>
        </w:rPr>
        <w:t>0</w:t>
      </w:r>
      <w:r>
        <w:rPr>
          <w:rFonts w:hint="eastAsia"/>
          <w:color w:val="000000" w:themeColor="text1"/>
        </w:rPr>
        <w:t>）％；期末考核（7</w:t>
      </w:r>
      <w:r>
        <w:rPr>
          <w:color w:val="000000" w:themeColor="text1"/>
        </w:rPr>
        <w:t>0</w:t>
      </w:r>
      <w:r>
        <w:rPr>
          <w:rFonts w:hint="eastAsia"/>
          <w:color w:val="000000" w:themeColor="text1"/>
        </w:rPr>
        <w:t>）％</w:t>
      </w:r>
    </w:p>
    <w:p>
      <w:pPr>
        <w:pStyle w:val="65"/>
        <w:adjustRightInd w:val="0"/>
        <w:spacing w:line="360" w:lineRule="auto"/>
        <w:rPr>
          <w:color w:val="000000" w:themeColor="text1"/>
        </w:rPr>
      </w:pPr>
      <w:r>
        <w:rPr>
          <w:rFonts w:hint="eastAsia"/>
          <w:color w:val="000000" w:themeColor="text1"/>
        </w:rPr>
        <w:t>平时成绩构成：作业（1</w:t>
      </w:r>
      <w:r>
        <w:rPr>
          <w:color w:val="000000" w:themeColor="text1"/>
        </w:rPr>
        <w:t>0</w:t>
      </w:r>
      <w:r>
        <w:rPr>
          <w:rFonts w:hint="eastAsia"/>
          <w:color w:val="000000" w:themeColor="text1"/>
        </w:rPr>
        <w:t>）％；学习</w:t>
      </w:r>
      <w:r>
        <w:rPr>
          <w:color w:val="000000" w:themeColor="text1"/>
        </w:rPr>
        <w:t>态度</w:t>
      </w:r>
      <w:r>
        <w:rPr>
          <w:rFonts w:hint="eastAsia"/>
          <w:color w:val="000000" w:themeColor="text1"/>
        </w:rPr>
        <w:t>（1</w:t>
      </w:r>
      <w:r>
        <w:rPr>
          <w:color w:val="000000" w:themeColor="text1"/>
        </w:rPr>
        <w:t>0</w:t>
      </w:r>
      <w:r>
        <w:rPr>
          <w:rFonts w:hint="eastAsia"/>
          <w:color w:val="000000" w:themeColor="text1"/>
        </w:rPr>
        <w:t>）％；</w:t>
      </w:r>
      <w:r>
        <w:rPr>
          <w:color w:val="000000" w:themeColor="text1"/>
        </w:rPr>
        <w:t>出勤</w:t>
      </w:r>
      <w:r>
        <w:rPr>
          <w:rFonts w:hint="eastAsia"/>
          <w:color w:val="000000" w:themeColor="text1"/>
        </w:rPr>
        <w:t>（</w:t>
      </w:r>
      <w:r>
        <w:rPr>
          <w:color w:val="000000" w:themeColor="text1"/>
        </w:rPr>
        <w:t>10</w:t>
      </w:r>
      <w:r>
        <w:rPr>
          <w:rFonts w:hint="eastAsia"/>
          <w:color w:val="000000" w:themeColor="text1"/>
        </w:rPr>
        <w:t>）％</w:t>
      </w:r>
    </w:p>
    <w:p>
      <w:pPr>
        <w:pStyle w:val="65"/>
        <w:adjustRightInd w:val="0"/>
        <w:spacing w:line="360" w:lineRule="auto"/>
        <w:rPr>
          <w:rFonts w:ascii="宋体" w:hAnsi="宋体"/>
          <w:color w:val="000000" w:themeColor="text1"/>
          <w:szCs w:val="21"/>
        </w:rPr>
      </w:pPr>
      <w:r>
        <w:rPr>
          <w:rFonts w:hint="eastAsia" w:ascii="宋体" w:hAnsi="宋体"/>
          <w:color w:val="000000" w:themeColor="text1"/>
          <w:szCs w:val="21"/>
        </w:rPr>
        <w:t>平时成绩包括出勤情况、章节作业（小组讨论和课堂展示）、学习态度等。</w:t>
      </w:r>
    </w:p>
    <w:p>
      <w:pPr>
        <w:pStyle w:val="65"/>
        <w:adjustRightInd w:val="0"/>
        <w:spacing w:line="360" w:lineRule="auto"/>
        <w:rPr>
          <w:color w:val="000000" w:themeColor="text1"/>
        </w:rPr>
      </w:pPr>
      <w:r>
        <w:rPr>
          <w:rFonts w:hint="eastAsia" w:ascii="宋体" w:hAnsi="宋体"/>
          <w:color w:val="000000" w:themeColor="text1"/>
          <w:szCs w:val="21"/>
        </w:rPr>
        <w:t>期末成绩为读书报告或课程论文。</w:t>
      </w:r>
    </w:p>
    <w:p>
      <w:pPr>
        <w:pStyle w:val="63"/>
        <w:adjustRightInd w:val="0"/>
        <w:spacing w:before="0" w:after="0" w:line="360" w:lineRule="auto"/>
        <w:outlineLvl w:val="0"/>
        <w:rPr>
          <w:color w:val="000000" w:themeColor="text1"/>
          <w:szCs w:val="24"/>
        </w:rPr>
      </w:pPr>
      <w:r>
        <w:rPr>
          <w:rFonts w:hint="eastAsia"/>
          <w:color w:val="000000" w:themeColor="text1"/>
          <w:szCs w:val="24"/>
        </w:rPr>
        <w:t>五、建议教材及参考资料</w:t>
      </w:r>
    </w:p>
    <w:p>
      <w:pPr>
        <w:pStyle w:val="64"/>
        <w:numPr>
          <w:ilvl w:val="0"/>
          <w:numId w:val="5"/>
        </w:numPr>
        <w:adjustRightInd w:val="0"/>
        <w:spacing w:line="360" w:lineRule="auto"/>
        <w:ind w:firstLineChars="0"/>
        <w:rPr>
          <w:color w:val="000000" w:themeColor="text1"/>
        </w:rPr>
      </w:pPr>
      <w:r>
        <w:rPr>
          <w:rFonts w:hint="eastAsia"/>
          <w:color w:val="000000" w:themeColor="text1"/>
        </w:rPr>
        <w:t>罗常培：</w:t>
      </w:r>
      <w:r>
        <w:rPr>
          <w:color w:val="000000" w:themeColor="text1"/>
        </w:rPr>
        <w:t>《</w:t>
      </w:r>
      <w:r>
        <w:rPr>
          <w:rFonts w:hint="eastAsia"/>
          <w:color w:val="000000" w:themeColor="text1"/>
        </w:rPr>
        <w:t>语言</w:t>
      </w:r>
      <w:r>
        <w:rPr>
          <w:color w:val="000000" w:themeColor="text1"/>
        </w:rPr>
        <w:t>与文化</w:t>
      </w:r>
      <w:r>
        <w:rPr>
          <w:rFonts w:hint="eastAsia"/>
          <w:color w:val="000000" w:themeColor="text1"/>
        </w:rPr>
        <w:t>》</w:t>
      </w:r>
      <w:r>
        <w:rPr>
          <w:color w:val="000000" w:themeColor="text1"/>
        </w:rPr>
        <w:t>，</w:t>
      </w:r>
      <w:r>
        <w:rPr>
          <w:rFonts w:hint="eastAsia"/>
          <w:color w:val="000000" w:themeColor="text1"/>
        </w:rPr>
        <w:t>北京</w:t>
      </w:r>
      <w:r>
        <w:rPr>
          <w:color w:val="000000" w:themeColor="text1"/>
        </w:rPr>
        <w:t>出版社</w:t>
      </w:r>
    </w:p>
    <w:p>
      <w:pPr>
        <w:pStyle w:val="64"/>
        <w:numPr>
          <w:ilvl w:val="0"/>
          <w:numId w:val="5"/>
        </w:numPr>
        <w:adjustRightInd w:val="0"/>
        <w:spacing w:line="360" w:lineRule="auto"/>
        <w:ind w:firstLineChars="0"/>
        <w:rPr>
          <w:color w:val="000000" w:themeColor="text1"/>
        </w:rPr>
      </w:pPr>
      <w:r>
        <w:rPr>
          <w:rFonts w:hint="eastAsia"/>
          <w:color w:val="000000" w:themeColor="text1"/>
        </w:rPr>
        <w:t>王佐良：</w:t>
      </w:r>
      <w:r>
        <w:rPr>
          <w:color w:val="000000" w:themeColor="text1"/>
        </w:rPr>
        <w:t>《</w:t>
      </w:r>
      <w:r>
        <w:rPr>
          <w:rFonts w:hint="eastAsia"/>
          <w:color w:val="000000" w:themeColor="text1"/>
        </w:rPr>
        <w:t>欧洲文化</w:t>
      </w:r>
      <w:r>
        <w:rPr>
          <w:color w:val="000000" w:themeColor="text1"/>
        </w:rPr>
        <w:t>入门</w:t>
      </w:r>
      <w:r>
        <w:rPr>
          <w:rFonts w:hint="eastAsia"/>
          <w:color w:val="000000" w:themeColor="text1"/>
        </w:rPr>
        <w:t>》</w:t>
      </w:r>
      <w:r>
        <w:rPr>
          <w:color w:val="000000" w:themeColor="text1"/>
        </w:rPr>
        <w:t>，</w:t>
      </w:r>
      <w:r>
        <w:rPr>
          <w:rFonts w:hint="eastAsia"/>
          <w:color w:val="000000" w:themeColor="text1"/>
        </w:rPr>
        <w:t>外语</w:t>
      </w:r>
      <w:r>
        <w:rPr>
          <w:color w:val="000000" w:themeColor="text1"/>
        </w:rPr>
        <w:t>教学与研究出版社</w:t>
      </w:r>
    </w:p>
    <w:p>
      <w:pPr>
        <w:pStyle w:val="64"/>
        <w:numPr>
          <w:ilvl w:val="0"/>
          <w:numId w:val="5"/>
        </w:numPr>
        <w:adjustRightInd w:val="0"/>
        <w:spacing w:line="360" w:lineRule="auto"/>
        <w:ind w:firstLineChars="0"/>
        <w:rPr>
          <w:color w:val="000000" w:themeColor="text1"/>
        </w:rPr>
      </w:pPr>
      <w:r>
        <w:rPr>
          <w:rFonts w:hint="eastAsia"/>
          <w:color w:val="000000" w:themeColor="text1"/>
        </w:rPr>
        <w:t>（美）萨缪尔</w:t>
      </w:r>
      <w:r>
        <w:rPr>
          <w:color w:val="000000" w:themeColor="text1"/>
        </w:rPr>
        <w:t>·</w:t>
      </w:r>
      <w:r>
        <w:rPr>
          <w:rFonts w:hint="eastAsia"/>
          <w:color w:val="000000" w:themeColor="text1"/>
        </w:rPr>
        <w:t>亨廷顿：《文明的冲突与世界秩序的重建》，新华</w:t>
      </w:r>
      <w:r>
        <w:rPr>
          <w:color w:val="000000" w:themeColor="text1"/>
        </w:rPr>
        <w:t xml:space="preserve">出版社  </w:t>
      </w:r>
    </w:p>
    <w:p>
      <w:pPr>
        <w:pStyle w:val="64"/>
        <w:numPr>
          <w:ilvl w:val="0"/>
          <w:numId w:val="5"/>
        </w:numPr>
        <w:adjustRightInd w:val="0"/>
        <w:spacing w:line="360" w:lineRule="auto"/>
        <w:ind w:firstLineChars="0"/>
        <w:rPr>
          <w:color w:val="000000" w:themeColor="text1"/>
        </w:rPr>
      </w:pPr>
      <w:r>
        <w:rPr>
          <w:rFonts w:hint="eastAsia"/>
          <w:color w:val="000000" w:themeColor="text1"/>
        </w:rPr>
        <w:t>陈衡哲：《西洋史》，辽宁教育出版社</w:t>
      </w:r>
    </w:p>
    <w:p>
      <w:pPr>
        <w:pStyle w:val="64"/>
        <w:numPr>
          <w:ilvl w:val="0"/>
          <w:numId w:val="5"/>
        </w:numPr>
        <w:adjustRightInd w:val="0"/>
        <w:spacing w:line="360" w:lineRule="auto"/>
        <w:ind w:firstLineChars="0"/>
        <w:rPr>
          <w:color w:val="000000" w:themeColor="text1"/>
        </w:rPr>
      </w:pPr>
      <w:r>
        <w:rPr>
          <w:rFonts w:hint="eastAsia"/>
          <w:color w:val="000000" w:themeColor="text1"/>
        </w:rPr>
        <w:t>陈乐民：《欧洲文明十五讲》，北京大学出版社</w:t>
      </w:r>
    </w:p>
    <w:p>
      <w:pPr>
        <w:pStyle w:val="64"/>
        <w:numPr>
          <w:ilvl w:val="0"/>
          <w:numId w:val="5"/>
        </w:numPr>
        <w:adjustRightInd w:val="0"/>
        <w:spacing w:line="360" w:lineRule="auto"/>
        <w:ind w:firstLineChars="0"/>
        <w:rPr>
          <w:color w:val="000000" w:themeColor="text1"/>
        </w:rPr>
      </w:pPr>
      <w:r>
        <w:rPr>
          <w:rFonts w:hint="eastAsia"/>
          <w:color w:val="000000" w:themeColor="text1"/>
        </w:rPr>
        <w:t>林达：《历史</w:t>
      </w:r>
      <w:r>
        <w:rPr>
          <w:color w:val="000000" w:themeColor="text1"/>
        </w:rPr>
        <w:t>深处的忧虑</w:t>
      </w:r>
      <w:r>
        <w:rPr>
          <w:rFonts w:hint="eastAsia"/>
          <w:color w:val="000000" w:themeColor="text1"/>
        </w:rPr>
        <w:t>》</w:t>
      </w:r>
      <w:r>
        <w:rPr>
          <w:color w:val="000000" w:themeColor="text1"/>
        </w:rPr>
        <w:t>，</w:t>
      </w:r>
      <w:r>
        <w:fldChar w:fldCharType="begin"/>
      </w:r>
      <w:r>
        <w:instrText xml:space="preserve"> HYPERLINK "https://baike.baidu.com/item/%E7%94%9F%E6%B4%BB%C2%B7%E8%AF%BB%E4%B9%A6%C2%B7%E6%96%B0%E7%9F%A5%E4%B8%89%E8%81%94%E4%B9%A6%E5%BA%97" \t "_blank" </w:instrText>
      </w:r>
      <w:r>
        <w:fldChar w:fldCharType="separate"/>
      </w:r>
      <w:r>
        <w:rPr>
          <w:color w:val="000000" w:themeColor="text1"/>
        </w:rPr>
        <w:t>生活·读书·新知三联书店</w:t>
      </w:r>
      <w:r>
        <w:rPr>
          <w:color w:val="000000" w:themeColor="text1"/>
        </w:rPr>
        <w:fldChar w:fldCharType="end"/>
      </w:r>
    </w:p>
    <w:p>
      <w:pPr>
        <w:pStyle w:val="64"/>
        <w:numPr>
          <w:ilvl w:val="0"/>
          <w:numId w:val="5"/>
        </w:numPr>
        <w:adjustRightInd w:val="0"/>
        <w:spacing w:line="360" w:lineRule="auto"/>
        <w:ind w:firstLineChars="0"/>
        <w:rPr>
          <w:color w:val="000000" w:themeColor="text1"/>
        </w:rPr>
      </w:pPr>
      <w:r>
        <w:rPr>
          <w:color w:val="000000" w:themeColor="text1"/>
        </w:rPr>
        <w:t>（澳）</w:t>
      </w:r>
      <w:r>
        <w:fldChar w:fldCharType="begin"/>
      </w:r>
      <w:r>
        <w:instrText xml:space="preserve"> HYPERLINK "https://baike.sogou.com/v158081973.htm" \t "_blank" </w:instrText>
      </w:r>
      <w:r>
        <w:fldChar w:fldCharType="separate"/>
      </w:r>
      <w:r>
        <w:rPr>
          <w:color w:val="000000" w:themeColor="text1"/>
        </w:rPr>
        <w:t>约翰·赫斯特</w:t>
      </w:r>
      <w:r>
        <w:rPr>
          <w:color w:val="000000" w:themeColor="text1"/>
        </w:rPr>
        <w:fldChar w:fldCharType="end"/>
      </w:r>
      <w:r>
        <w:rPr>
          <w:rFonts w:hint="eastAsia"/>
          <w:color w:val="000000" w:themeColor="text1"/>
        </w:rPr>
        <w:t>：《极简欧洲史》，广西师范大学出版社</w:t>
      </w:r>
    </w:p>
    <w:p>
      <w:pPr>
        <w:pStyle w:val="64"/>
        <w:numPr>
          <w:ilvl w:val="0"/>
          <w:numId w:val="5"/>
        </w:numPr>
        <w:adjustRightInd w:val="0"/>
        <w:spacing w:line="360" w:lineRule="auto"/>
        <w:ind w:firstLineChars="0"/>
        <w:rPr>
          <w:color w:val="000000" w:themeColor="text1"/>
        </w:rPr>
      </w:pPr>
      <w:r>
        <w:rPr>
          <w:rFonts w:hint="eastAsia"/>
          <w:color w:val="000000" w:themeColor="text1"/>
        </w:rPr>
        <w:t>冯友兰：《中国哲学简史》，北京大学出版社</w:t>
      </w:r>
    </w:p>
    <w:p>
      <w:pPr>
        <w:pStyle w:val="69"/>
        <w:adjustRightInd w:val="0"/>
        <w:spacing w:before="0" w:after="0" w:line="360" w:lineRule="auto"/>
        <w:rPr>
          <w:color w:val="000000" w:themeColor="text1"/>
        </w:rPr>
      </w:pPr>
      <w:r>
        <w:rPr>
          <w:color w:val="000000" w:themeColor="text1"/>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中国传统文化评析课程教学大纲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 xml:space="preserve">：中国传统文化评析/ </w:t>
      </w:r>
      <w:r>
        <w:rPr>
          <w:color w:val="000000" w:themeColor="text1"/>
          <w:sz w:val="21"/>
          <w:szCs w:val="21"/>
        </w:rPr>
        <w:t>Chinese traditional culture</w:t>
      </w:r>
      <w:r>
        <w:rPr>
          <w:rFonts w:hint="eastAsia"/>
          <w:color w:val="000000" w:themeColor="text1"/>
          <w:sz w:val="21"/>
          <w:szCs w:val="21"/>
        </w:rPr>
        <w:t xml:space="preserve"> </w:t>
      </w:r>
      <w:r>
        <w:rPr>
          <w:color w:val="000000" w:themeColor="text1"/>
          <w:sz w:val="21"/>
          <w:szCs w:val="21"/>
        </w:rPr>
        <w:t>review</w:t>
      </w:r>
    </w:p>
    <w:p>
      <w:pPr>
        <w:pStyle w:val="62"/>
        <w:spacing w:line="360" w:lineRule="auto"/>
        <w:ind w:firstLine="422"/>
        <w:rPr>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：1504531016</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：全校公共选修</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：全校各专业硕士研究生</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415" w:firstLineChars="198"/>
        <w:jc w:val="left"/>
        <w:rPr>
          <w:rFonts w:cs="宋体"/>
          <w:color w:val="000000" w:themeColor="text1"/>
          <w:szCs w:val="21"/>
        </w:rPr>
      </w:pPr>
      <w:r>
        <w:rPr>
          <w:rFonts w:hint="eastAsia" w:cs="宋体"/>
          <w:color w:val="000000" w:themeColor="text1"/>
          <w:szCs w:val="21"/>
        </w:rPr>
        <w:t>《</w:t>
      </w:r>
      <w:r>
        <w:rPr>
          <w:rFonts w:hint="eastAsia"/>
          <w:color w:val="000000" w:themeColor="text1"/>
          <w:szCs w:val="21"/>
        </w:rPr>
        <w:t>中国传统文化评析</w:t>
      </w:r>
      <w:r>
        <w:rPr>
          <w:rFonts w:hint="eastAsia" w:cs="宋体"/>
          <w:color w:val="000000" w:themeColor="text1"/>
          <w:szCs w:val="21"/>
        </w:rPr>
        <w:t>》是面向全校各专业一年级硕士研究生的公共选修课程。通过课堂教学和讨论，使学生在现有中国传统文化知识的基础上，进一步了解中国历史与诸形式文化之间的相互融合共通关系，训练运用历史的辩证的方法，对历史与中国传统文化中运行的基本规律作基础性的了解和研讨。本课程</w:t>
      </w:r>
      <w:r>
        <w:rPr>
          <w:rFonts w:cs="宋体"/>
          <w:color w:val="000000" w:themeColor="text1"/>
          <w:szCs w:val="21"/>
        </w:rPr>
        <w:t>主要</w:t>
      </w:r>
      <w:r>
        <w:rPr>
          <w:rFonts w:hint="eastAsia" w:cs="宋体"/>
          <w:color w:val="000000" w:themeColor="text1"/>
          <w:szCs w:val="21"/>
        </w:rPr>
        <w:t>着力于带有一定普遍性的中国传统文化形式，如中西文化异同、家国文化、地域文化、中国传统知识分子精神等，进行专题性的研讨</w:t>
      </w:r>
      <w:r>
        <w:rPr>
          <w:rFonts w:cs="宋体"/>
          <w:color w:val="000000" w:themeColor="text1"/>
          <w:szCs w:val="21"/>
        </w:rPr>
        <w:t>。</w:t>
      </w:r>
      <w:r>
        <w:rPr>
          <w:rFonts w:hint="eastAsia" w:cs="宋体"/>
          <w:color w:val="000000" w:themeColor="text1"/>
          <w:szCs w:val="21"/>
        </w:rPr>
        <w:t>通过本课程的学习，逐渐培养和开拓学生的研究思路和方法，</w:t>
      </w:r>
      <w:r>
        <w:rPr>
          <w:rFonts w:cs="宋体"/>
          <w:color w:val="000000" w:themeColor="text1"/>
          <w:szCs w:val="21"/>
        </w:rPr>
        <w:t>为</w:t>
      </w:r>
      <w:r>
        <w:rPr>
          <w:rFonts w:hint="eastAsia" w:cs="宋体"/>
          <w:color w:val="000000" w:themeColor="text1"/>
          <w:szCs w:val="21"/>
        </w:rPr>
        <w:t>人文类学生进行</w:t>
      </w:r>
      <w:r>
        <w:rPr>
          <w:rFonts w:cs="宋体"/>
          <w:color w:val="000000" w:themeColor="text1"/>
          <w:szCs w:val="21"/>
        </w:rPr>
        <w:t>深入研究打下基础</w:t>
      </w:r>
      <w:r>
        <w:rPr>
          <w:rFonts w:hint="eastAsia" w:cs="宋体"/>
          <w:color w:val="000000" w:themeColor="text1"/>
          <w:szCs w:val="21"/>
        </w:rPr>
        <w:t>，也利于理工类学生进一步开阔研究视野，提高人文素养。</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5"/>
        <w:spacing w:line="360" w:lineRule="auto"/>
        <w:rPr>
          <w:color w:val="000000" w:themeColor="text1"/>
          <w:szCs w:val="21"/>
        </w:rPr>
      </w:pPr>
      <w:r>
        <w:rPr>
          <w:rFonts w:hint="eastAsia"/>
          <w:color w:val="000000" w:themeColor="text1"/>
          <w:szCs w:val="21"/>
        </w:rPr>
        <w:t>1．培养学生进一步了解中国历史与诸形式文化之间的相互融合共通关系。</w:t>
      </w:r>
    </w:p>
    <w:p>
      <w:pPr>
        <w:pStyle w:val="65"/>
        <w:spacing w:line="360" w:lineRule="auto"/>
        <w:rPr>
          <w:color w:val="000000" w:themeColor="text1"/>
          <w:szCs w:val="21"/>
        </w:rPr>
      </w:pPr>
      <w:r>
        <w:rPr>
          <w:color w:val="000000" w:themeColor="text1"/>
          <w:szCs w:val="21"/>
        </w:rPr>
        <w:t xml:space="preserve">2 </w:t>
      </w:r>
      <w:r>
        <w:rPr>
          <w:rFonts w:hint="eastAsia"/>
          <w:color w:val="000000" w:themeColor="text1"/>
          <w:szCs w:val="21"/>
        </w:rPr>
        <w:t xml:space="preserve"> 培养学生运用历史的辩证的方法，对历史与中国传统文化中运行的基本规律作基础性的了解和研讨。</w:t>
      </w:r>
    </w:p>
    <w:p>
      <w:pPr>
        <w:pStyle w:val="65"/>
        <w:spacing w:line="360" w:lineRule="auto"/>
        <w:rPr>
          <w:color w:val="000000" w:themeColor="text1"/>
          <w:szCs w:val="21"/>
        </w:rPr>
      </w:pPr>
      <w:r>
        <w:rPr>
          <w:color w:val="000000" w:themeColor="text1"/>
          <w:szCs w:val="21"/>
        </w:rPr>
        <w:t>3</w:t>
      </w:r>
      <w:r>
        <w:rPr>
          <w:rFonts w:hint="eastAsia"/>
          <w:color w:val="000000" w:themeColor="text1"/>
          <w:szCs w:val="21"/>
        </w:rPr>
        <w:t xml:space="preserve">  开阔研究视野，提高人文素养，</w:t>
      </w:r>
      <w:r>
        <w:rPr>
          <w:color w:val="000000" w:themeColor="text1"/>
          <w:szCs w:val="21"/>
        </w:rPr>
        <w:t>为</w:t>
      </w:r>
      <w:r>
        <w:rPr>
          <w:rFonts w:hint="eastAsia"/>
          <w:color w:val="000000" w:themeColor="text1"/>
          <w:szCs w:val="21"/>
        </w:rPr>
        <w:t>进一步</w:t>
      </w:r>
      <w:r>
        <w:rPr>
          <w:color w:val="000000" w:themeColor="text1"/>
          <w:szCs w:val="21"/>
        </w:rPr>
        <w:t>深入研究打下基础</w:t>
      </w:r>
      <w:r>
        <w:rPr>
          <w:rFonts w:hint="eastAsia"/>
          <w:color w:val="000000" w:themeColor="text1"/>
          <w:szCs w:val="21"/>
        </w:rPr>
        <w:t xml:space="preserve">。 </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 xml:space="preserve">课程介绍 </w:t>
            </w:r>
          </w:p>
          <w:p>
            <w:pPr>
              <w:widowControl/>
              <w:spacing w:line="360" w:lineRule="auto"/>
              <w:rPr>
                <w:rFonts w:cs="宋体"/>
                <w:color w:val="000000" w:themeColor="text1"/>
                <w:szCs w:val="21"/>
              </w:rPr>
            </w:pPr>
            <w:r>
              <w:rPr>
                <w:rFonts w:hint="eastAsia" w:cs="宋体"/>
                <w:color w:val="000000" w:themeColor="text1"/>
                <w:szCs w:val="21"/>
              </w:rPr>
              <w:t>绪论：西方向左 中国向右 - 坐标上的中华文明（上）</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西方向左 中国向右 - 坐标上的中华文明（下）</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统一与分裂：中国文化的地缘形态</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皇帝的龙椅：中国传统文化与中国政治结构</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家庭与家族：一个家族的发达史与衰落史</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国士无双：一个传统的知识分子的命运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国虽旧邦，其命维新：传统文化的现代认知</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复习与讨论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16</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总评成绩构成：平时考核（3</w:t>
      </w:r>
      <w:r>
        <w:rPr>
          <w:color w:val="000000" w:themeColor="text1"/>
        </w:rPr>
        <w:t>0</w:t>
      </w:r>
      <w:r>
        <w:rPr>
          <w:rFonts w:hint="eastAsia"/>
          <w:color w:val="000000" w:themeColor="text1"/>
        </w:rPr>
        <w:t>）％；月度考核（）％；期末考核（7</w:t>
      </w:r>
      <w:r>
        <w:rPr>
          <w:color w:val="000000" w:themeColor="text1"/>
        </w:rPr>
        <w:t>0</w:t>
      </w:r>
      <w:r>
        <w:rPr>
          <w:rFonts w:hint="eastAsia"/>
          <w:color w:val="000000" w:themeColor="text1"/>
        </w:rPr>
        <w:t>）％</w:t>
      </w:r>
    </w:p>
    <w:p>
      <w:pPr>
        <w:pStyle w:val="65"/>
        <w:spacing w:line="360" w:lineRule="auto"/>
        <w:rPr>
          <w:color w:val="000000" w:themeColor="text1"/>
        </w:rPr>
      </w:pPr>
      <w:r>
        <w:rPr>
          <w:rFonts w:hint="eastAsia"/>
          <w:color w:val="000000" w:themeColor="text1"/>
        </w:rPr>
        <w:t>平时成绩构成：考勤考纪（</w:t>
      </w:r>
      <w:r>
        <w:rPr>
          <w:color w:val="000000" w:themeColor="text1"/>
        </w:rPr>
        <w:t>10</w:t>
      </w:r>
      <w:r>
        <w:rPr>
          <w:rFonts w:hint="eastAsia"/>
          <w:color w:val="000000" w:themeColor="text1"/>
        </w:rPr>
        <w:t>）％；讨论（2</w:t>
      </w:r>
      <w:r>
        <w:rPr>
          <w:color w:val="000000" w:themeColor="text1"/>
        </w:rPr>
        <w:t>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525" w:firstLineChars="250"/>
        <w:rPr>
          <w:color w:val="000000" w:themeColor="text1"/>
          <w:szCs w:val="21"/>
        </w:rPr>
      </w:pPr>
      <w:r>
        <w:rPr>
          <w:rFonts w:hint="eastAsia"/>
          <w:color w:val="000000" w:themeColor="text1"/>
        </w:rPr>
        <w:t>自编讲义</w:t>
      </w:r>
    </w:p>
    <w:p>
      <w:pPr>
        <w:pStyle w:val="66"/>
        <w:spacing w:line="360" w:lineRule="auto"/>
        <w:rPr>
          <w:color w:val="000000" w:themeColor="text1"/>
        </w:rPr>
      </w:pPr>
      <w:r>
        <w:rPr>
          <w:rFonts w:hint="eastAsia"/>
          <w:color w:val="000000" w:themeColor="text1"/>
        </w:rPr>
        <w:t>参考资料：</w:t>
      </w:r>
    </w:p>
    <w:p>
      <w:pPr>
        <w:spacing w:line="360" w:lineRule="auto"/>
        <w:ind w:firstLine="525" w:firstLineChars="250"/>
        <w:outlineLvl w:val="0"/>
        <w:rPr>
          <w:color w:val="000000" w:themeColor="text1"/>
          <w:szCs w:val="21"/>
        </w:rPr>
      </w:pPr>
      <w:r>
        <w:rPr>
          <w:color w:val="000000" w:themeColor="text1"/>
        </w:rPr>
        <w:t>1．《</w:t>
      </w:r>
      <w:r>
        <w:rPr>
          <w:rFonts w:hint="eastAsia"/>
          <w:color w:val="000000" w:themeColor="text1"/>
        </w:rPr>
        <w:t>中国文化要义</w:t>
      </w:r>
      <w:r>
        <w:rPr>
          <w:color w:val="000000" w:themeColor="text1"/>
        </w:rPr>
        <w:t>》，</w:t>
      </w:r>
      <w:r>
        <w:rPr>
          <w:rFonts w:hint="eastAsia"/>
          <w:color w:val="000000" w:themeColor="text1"/>
        </w:rPr>
        <w:t xml:space="preserve"> 梁漱溟，上海世纪出版集团，上海人民</w:t>
      </w:r>
      <w:r>
        <w:rPr>
          <w:color w:val="000000" w:themeColor="text1"/>
        </w:rPr>
        <w:t>出版社，200</w:t>
      </w:r>
      <w:r>
        <w:rPr>
          <w:rFonts w:hint="eastAsia"/>
          <w:color w:val="000000" w:themeColor="text1"/>
        </w:rPr>
        <w:t>5</w:t>
      </w:r>
      <w:r>
        <w:rPr>
          <w:color w:val="000000" w:themeColor="text1"/>
        </w:rPr>
        <w:t>年版</w:t>
      </w:r>
    </w:p>
    <w:p>
      <w:pPr>
        <w:spacing w:line="360" w:lineRule="auto"/>
        <w:ind w:firstLine="525" w:firstLineChars="250"/>
        <w:rPr>
          <w:color w:val="000000" w:themeColor="text1"/>
          <w:szCs w:val="21"/>
        </w:rPr>
      </w:pPr>
      <w:r>
        <w:rPr>
          <w:color w:val="000000" w:themeColor="text1"/>
        </w:rPr>
        <w:t>2</w:t>
      </w:r>
      <w:r>
        <w:rPr>
          <w:rFonts w:hint="eastAsia"/>
          <w:color w:val="000000" w:themeColor="text1"/>
        </w:rPr>
        <w:t>．</w:t>
      </w:r>
      <w:r>
        <w:rPr>
          <w:color w:val="000000" w:themeColor="text1"/>
        </w:rPr>
        <w:t>《</w:t>
      </w:r>
      <w:r>
        <w:rPr>
          <w:rFonts w:hint="eastAsia"/>
          <w:color w:val="000000" w:themeColor="text1"/>
        </w:rPr>
        <w:t>古代中国文化讲义</w:t>
      </w:r>
      <w:r>
        <w:rPr>
          <w:color w:val="000000" w:themeColor="text1"/>
        </w:rPr>
        <w:t>》，</w:t>
      </w:r>
      <w:r>
        <w:rPr>
          <w:rFonts w:hint="eastAsia"/>
          <w:color w:val="000000" w:themeColor="text1"/>
        </w:rPr>
        <w:t>葛兆光，复旦大学</w:t>
      </w:r>
      <w:r>
        <w:rPr>
          <w:color w:val="000000" w:themeColor="text1"/>
        </w:rPr>
        <w:t>出版社，</w:t>
      </w:r>
      <w:r>
        <w:rPr>
          <w:rFonts w:hint="eastAsia"/>
          <w:color w:val="000000" w:themeColor="text1"/>
        </w:rPr>
        <w:t>2012</w:t>
      </w:r>
      <w:r>
        <w:rPr>
          <w:color w:val="000000" w:themeColor="text1"/>
        </w:rPr>
        <w:t>年版</w:t>
      </w:r>
    </w:p>
    <w:p>
      <w:pPr>
        <w:spacing w:line="360" w:lineRule="auto"/>
        <w:ind w:firstLine="525" w:firstLineChars="250"/>
        <w:outlineLvl w:val="0"/>
        <w:rPr>
          <w:color w:val="000000" w:themeColor="text1"/>
          <w:szCs w:val="21"/>
        </w:rPr>
      </w:pPr>
      <w:r>
        <w:rPr>
          <w:rFonts w:hint="eastAsia"/>
          <w:color w:val="000000" w:themeColor="text1"/>
        </w:rPr>
        <w:t>3</w:t>
      </w:r>
      <w:r>
        <w:rPr>
          <w:color w:val="000000" w:themeColor="text1"/>
        </w:rPr>
        <w:t>．《</w:t>
      </w:r>
      <w:r>
        <w:rPr>
          <w:rFonts w:hint="eastAsia"/>
          <w:color w:val="000000" w:themeColor="text1"/>
        </w:rPr>
        <w:t>说中国-一个不断变化的复杂共同体</w:t>
      </w:r>
      <w:r>
        <w:rPr>
          <w:color w:val="000000" w:themeColor="text1"/>
        </w:rPr>
        <w:t>》，</w:t>
      </w:r>
      <w:r>
        <w:rPr>
          <w:rFonts w:hint="eastAsia"/>
          <w:color w:val="000000" w:themeColor="text1"/>
        </w:rPr>
        <w:t>许倬云</w:t>
      </w:r>
      <w:r>
        <w:rPr>
          <w:color w:val="000000" w:themeColor="text1"/>
        </w:rPr>
        <w:t>著</w:t>
      </w:r>
      <w:r>
        <w:rPr>
          <w:color w:val="000000" w:themeColor="text1"/>
          <w:sz w:val="20"/>
        </w:rPr>
        <w:t>，</w:t>
      </w:r>
      <w:r>
        <w:rPr>
          <w:rFonts w:hint="eastAsia"/>
          <w:color w:val="000000" w:themeColor="text1"/>
        </w:rPr>
        <w:t>广西师大</w:t>
      </w:r>
      <w:r>
        <w:rPr>
          <w:color w:val="000000" w:themeColor="text1"/>
        </w:rPr>
        <w:t>出版社，</w:t>
      </w:r>
      <w:r>
        <w:rPr>
          <w:rFonts w:hint="eastAsia"/>
          <w:color w:val="000000" w:themeColor="text1"/>
        </w:rPr>
        <w:t>2015</w:t>
      </w:r>
      <w:r>
        <w:rPr>
          <w:color w:val="000000" w:themeColor="text1"/>
        </w:rPr>
        <w:t>年版</w:t>
      </w: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jc w:val="center"/>
        <w:rPr>
          <w:rFonts w:ascii="宋体" w:hAnsi="宋体" w:eastAsia="宋体" w:cs="MS Mincho"/>
          <w:b/>
          <w:color w:val="000000" w:themeColor="text1"/>
          <w:sz w:val="32"/>
          <w:szCs w:val="32"/>
        </w:rPr>
      </w:pPr>
      <w:r>
        <w:rPr>
          <w:rFonts w:hint="eastAsia" w:ascii="宋体" w:hAnsi="宋体" w:eastAsia="宋体" w:cs="MS Mincho"/>
          <w:b/>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spacing w:line="360" w:lineRule="auto"/>
        <w:jc w:val="center"/>
        <w:rPr>
          <w:rFonts w:ascii="宋体" w:hAnsi="宋体" w:eastAsia="宋体"/>
          <w:b/>
          <w:color w:val="000000" w:themeColor="text1"/>
          <w:sz w:val="32"/>
          <w:szCs w:val="32"/>
        </w:rPr>
      </w:pPr>
      <w:r>
        <w:rPr>
          <w:rFonts w:hint="eastAsia" w:ascii="宋体" w:hAnsi="宋体" w:eastAsia="宋体" w:cs="MS Mincho"/>
          <w:b/>
          <w:color w:val="000000" w:themeColor="text1"/>
          <w:sz w:val="32"/>
          <w:szCs w:val="32"/>
        </w:rPr>
        <w:t>高级</w:t>
      </w:r>
      <w:r>
        <w:rPr>
          <w:rFonts w:ascii="宋体" w:hAnsi="宋体" w:eastAsia="宋体" w:cs="MS Mincho"/>
          <w:b/>
          <w:color w:val="000000" w:themeColor="text1"/>
          <w:sz w:val="32"/>
          <w:szCs w:val="32"/>
        </w:rPr>
        <w:t>汉语</w:t>
      </w:r>
      <w:r>
        <w:rPr>
          <w:rFonts w:hint="eastAsia" w:ascii="宋体" w:hAnsi="宋体" w:eastAsia="宋体"/>
          <w:b/>
          <w:color w:val="000000" w:themeColor="text1"/>
          <w:sz w:val="32"/>
          <w:szCs w:val="32"/>
        </w:rPr>
        <w:t>课程教学大纲</w:t>
      </w:r>
    </w:p>
    <w:p>
      <w:pPr>
        <w:spacing w:line="360" w:lineRule="auto"/>
        <w:jc w:val="center"/>
        <w:rPr>
          <w:rFonts w:ascii="宋体" w:hAnsi="宋体" w:eastAsia="宋体"/>
          <w:b/>
          <w:color w:val="000000" w:themeColor="text1"/>
          <w:sz w:val="32"/>
          <w:szCs w:val="32"/>
        </w:rPr>
      </w:pPr>
    </w:p>
    <w:p>
      <w:pPr>
        <w:pStyle w:val="62"/>
        <w:spacing w:line="360" w:lineRule="auto"/>
        <w:ind w:firstLine="482"/>
        <w:rPr>
          <w:rFonts w:ascii="宋体" w:hAnsi="宋体"/>
          <w:color w:val="000000" w:themeColor="text1"/>
          <w:szCs w:val="24"/>
        </w:rPr>
      </w:pPr>
      <w:r>
        <w:rPr>
          <w:rFonts w:hint="eastAsia" w:ascii="宋体" w:hAnsi="宋体"/>
          <w:b/>
          <w:color w:val="000000" w:themeColor="text1"/>
          <w:szCs w:val="24"/>
        </w:rPr>
        <w:t>课程名称</w:t>
      </w:r>
      <w:r>
        <w:rPr>
          <w:rFonts w:hint="eastAsia" w:ascii="宋体" w:hAnsi="宋体"/>
          <w:color w:val="000000" w:themeColor="text1"/>
          <w:szCs w:val="24"/>
        </w:rPr>
        <w:t>：</w:t>
      </w:r>
      <w:r>
        <w:rPr>
          <w:rFonts w:hint="eastAsia" w:ascii="宋体" w:hAnsi="宋体" w:cs="MS Mincho"/>
          <w:color w:val="000000" w:themeColor="text1"/>
          <w:szCs w:val="24"/>
        </w:rPr>
        <w:t>高级</w:t>
      </w:r>
      <w:r>
        <w:rPr>
          <w:rFonts w:ascii="宋体" w:hAnsi="宋体" w:cs="MS Mincho"/>
          <w:color w:val="000000" w:themeColor="text1"/>
          <w:szCs w:val="24"/>
        </w:rPr>
        <w:t>汉语</w:t>
      </w:r>
      <w:r>
        <w:rPr>
          <w:rFonts w:hint="eastAsia" w:ascii="宋体" w:hAnsi="宋体"/>
          <w:color w:val="000000" w:themeColor="text1"/>
          <w:szCs w:val="24"/>
        </w:rPr>
        <w:t>/</w:t>
      </w:r>
      <w:r>
        <w:rPr>
          <w:rFonts w:ascii="宋体" w:hAnsi="宋体"/>
          <w:color w:val="000000" w:themeColor="text1"/>
          <w:szCs w:val="24"/>
        </w:rPr>
        <w:t xml:space="preserve">Advanced Chinese </w:t>
      </w:r>
    </w:p>
    <w:p>
      <w:pPr>
        <w:pStyle w:val="62"/>
        <w:spacing w:line="360" w:lineRule="auto"/>
        <w:ind w:firstLine="482"/>
        <w:rPr>
          <w:rFonts w:ascii="宋体" w:hAnsi="宋体"/>
          <w:color w:val="000000" w:themeColor="text1"/>
          <w:szCs w:val="24"/>
        </w:rPr>
      </w:pPr>
      <w:r>
        <w:rPr>
          <w:rFonts w:hint="eastAsia" w:ascii="宋体" w:hAnsi="宋体"/>
          <w:b/>
          <w:color w:val="000000" w:themeColor="text1"/>
          <w:szCs w:val="24"/>
        </w:rPr>
        <w:t>课程代码</w:t>
      </w:r>
      <w:r>
        <w:rPr>
          <w:rFonts w:hint="eastAsia" w:ascii="宋体" w:hAnsi="宋体"/>
          <w:color w:val="000000" w:themeColor="text1"/>
          <w:szCs w:val="24"/>
        </w:rPr>
        <w:t>：</w:t>
      </w:r>
      <w:r>
        <w:rPr>
          <w:rFonts w:ascii="宋体" w:hAnsi="宋体"/>
          <w:color w:val="000000" w:themeColor="text1"/>
          <w:szCs w:val="24"/>
        </w:rPr>
        <w:t>0000152006</w:t>
      </w:r>
    </w:p>
    <w:p>
      <w:pPr>
        <w:pStyle w:val="62"/>
        <w:spacing w:line="360" w:lineRule="auto"/>
        <w:ind w:firstLine="482"/>
        <w:rPr>
          <w:rFonts w:ascii="宋体" w:hAnsi="宋体"/>
          <w:color w:val="000000" w:themeColor="text1"/>
          <w:szCs w:val="24"/>
        </w:rPr>
      </w:pPr>
      <w:r>
        <w:rPr>
          <w:rFonts w:hint="eastAsia" w:ascii="宋体" w:hAnsi="宋体"/>
          <w:b/>
          <w:color w:val="000000" w:themeColor="text1"/>
          <w:szCs w:val="24"/>
        </w:rPr>
        <w:t>课程类型</w:t>
      </w:r>
      <w:r>
        <w:rPr>
          <w:rFonts w:ascii="MS Mincho" w:hAnsi="MS Mincho" w:eastAsia="MS Mincho" w:cs="MS Mincho"/>
          <w:color w:val="000000" w:themeColor="text1"/>
          <w:szCs w:val="24"/>
        </w:rPr>
        <w:t>：</w:t>
      </w:r>
      <w:r>
        <w:rPr>
          <w:rFonts w:hint="eastAsia" w:ascii="宋体" w:hAnsi="宋体" w:cs="MS Mincho"/>
          <w:color w:val="000000" w:themeColor="text1"/>
          <w:szCs w:val="24"/>
        </w:rPr>
        <w:t>公共</w:t>
      </w:r>
      <w:r>
        <w:rPr>
          <w:rFonts w:ascii="宋体" w:hAnsi="宋体" w:cs="MS Mincho"/>
          <w:color w:val="000000" w:themeColor="text1"/>
          <w:szCs w:val="24"/>
        </w:rPr>
        <w:t>学位</w:t>
      </w:r>
      <w:r>
        <w:rPr>
          <w:rFonts w:ascii="宋体" w:hAnsi="宋体"/>
          <w:color w:val="000000" w:themeColor="text1"/>
          <w:szCs w:val="24"/>
        </w:rPr>
        <w:t>课</w:t>
      </w:r>
    </w:p>
    <w:p>
      <w:pPr>
        <w:pStyle w:val="62"/>
        <w:spacing w:line="360" w:lineRule="auto"/>
        <w:ind w:firstLine="482"/>
        <w:rPr>
          <w:rFonts w:ascii="宋体" w:hAnsi="宋体"/>
          <w:color w:val="000000" w:themeColor="text1"/>
          <w:szCs w:val="24"/>
        </w:rPr>
      </w:pPr>
      <w:r>
        <w:rPr>
          <w:rFonts w:hint="eastAsia" w:ascii="宋体" w:hAnsi="宋体"/>
          <w:b/>
          <w:color w:val="000000" w:themeColor="text1"/>
          <w:szCs w:val="24"/>
        </w:rPr>
        <w:t>总学时数</w:t>
      </w:r>
      <w:r>
        <w:rPr>
          <w:rFonts w:hint="eastAsia" w:ascii="宋体" w:hAnsi="宋体"/>
          <w:color w:val="000000" w:themeColor="text1"/>
          <w:szCs w:val="24"/>
        </w:rPr>
        <w:t>：</w:t>
      </w:r>
      <w:r>
        <w:rPr>
          <w:rFonts w:ascii="宋体" w:hAnsi="宋体"/>
          <w:color w:val="000000" w:themeColor="text1"/>
          <w:szCs w:val="24"/>
        </w:rPr>
        <w:t xml:space="preserve"> </w:t>
      </w:r>
      <w:r>
        <w:rPr>
          <w:rFonts w:hint="eastAsia" w:ascii="宋体" w:hAnsi="宋体"/>
          <w:color w:val="000000" w:themeColor="text1"/>
          <w:szCs w:val="24"/>
        </w:rPr>
        <w:t>32</w:t>
      </w:r>
    </w:p>
    <w:p>
      <w:pPr>
        <w:pStyle w:val="62"/>
        <w:spacing w:line="360" w:lineRule="auto"/>
        <w:ind w:firstLine="482"/>
        <w:rPr>
          <w:rFonts w:ascii="宋体" w:hAnsi="宋体"/>
          <w:color w:val="000000" w:themeColor="text1"/>
          <w:szCs w:val="24"/>
        </w:rPr>
      </w:pPr>
      <w:r>
        <w:rPr>
          <w:rFonts w:ascii="MS Mincho" w:hAnsi="MS Mincho" w:eastAsia="MS Mincho" w:cs="MS Mincho"/>
          <w:b/>
          <w:color w:val="000000" w:themeColor="text1"/>
          <w:szCs w:val="24"/>
        </w:rPr>
        <w:t>学</w:t>
      </w:r>
      <w:r>
        <w:rPr>
          <w:rFonts w:hint="eastAsia" w:ascii="宋体" w:hAnsi="宋体"/>
          <w:b/>
          <w:color w:val="000000" w:themeColor="text1"/>
          <w:szCs w:val="24"/>
        </w:rPr>
        <w:t xml:space="preserve">  </w:t>
      </w:r>
      <w:r>
        <w:rPr>
          <w:rFonts w:ascii="宋体" w:hAnsi="宋体"/>
          <w:b/>
          <w:color w:val="000000" w:themeColor="text1"/>
          <w:szCs w:val="24"/>
        </w:rPr>
        <w:t xml:space="preserve">  </w:t>
      </w:r>
      <w:r>
        <w:rPr>
          <w:rFonts w:hint="eastAsia" w:ascii="宋体" w:hAnsi="宋体"/>
          <w:b/>
          <w:color w:val="000000" w:themeColor="text1"/>
          <w:szCs w:val="24"/>
        </w:rPr>
        <w:t>分</w:t>
      </w:r>
      <w:r>
        <w:rPr>
          <w:rFonts w:hint="eastAsia" w:ascii="宋体" w:hAnsi="宋体"/>
          <w:color w:val="000000" w:themeColor="text1"/>
          <w:szCs w:val="24"/>
        </w:rPr>
        <w:t>：</w:t>
      </w:r>
      <w:r>
        <w:rPr>
          <w:rFonts w:hint="eastAsia" w:ascii="宋体" w:hAnsi="宋体"/>
          <w:b/>
          <w:color w:val="000000" w:themeColor="text1"/>
          <w:szCs w:val="24"/>
        </w:rPr>
        <w:t xml:space="preserve"> </w:t>
      </w:r>
      <w:r>
        <w:rPr>
          <w:rFonts w:hint="eastAsia" w:ascii="宋体" w:hAnsi="宋体"/>
          <w:color w:val="000000" w:themeColor="text1"/>
          <w:szCs w:val="24"/>
        </w:rPr>
        <w:t>2</w:t>
      </w:r>
    </w:p>
    <w:p>
      <w:pPr>
        <w:pStyle w:val="62"/>
        <w:tabs>
          <w:tab w:val="left" w:pos="3420"/>
        </w:tabs>
        <w:spacing w:line="360" w:lineRule="auto"/>
        <w:ind w:firstLine="482"/>
        <w:rPr>
          <w:rFonts w:ascii="宋体" w:hAnsi="宋体"/>
          <w:color w:val="000000" w:themeColor="text1"/>
          <w:szCs w:val="24"/>
        </w:rPr>
      </w:pPr>
      <w:r>
        <w:rPr>
          <w:rFonts w:ascii="宋体" w:hAnsi="宋体" w:cs="MS Mincho"/>
          <w:b/>
          <w:color w:val="000000" w:themeColor="text1"/>
          <w:szCs w:val="24"/>
        </w:rPr>
        <w:t>先修</w:t>
      </w:r>
      <w:r>
        <w:rPr>
          <w:rFonts w:hint="eastAsia" w:ascii="宋体" w:hAnsi="宋体"/>
          <w:b/>
          <w:color w:val="000000" w:themeColor="text1"/>
          <w:szCs w:val="24"/>
        </w:rPr>
        <w:t>课</w:t>
      </w:r>
      <w:r>
        <w:rPr>
          <w:rFonts w:ascii="宋体" w:hAnsi="宋体" w:cs="MS Mincho"/>
          <w:b/>
          <w:color w:val="000000" w:themeColor="text1"/>
          <w:szCs w:val="24"/>
        </w:rPr>
        <w:t>程</w:t>
      </w:r>
      <w:r>
        <w:rPr>
          <w:rFonts w:ascii="MS Mincho" w:hAnsi="MS Mincho" w:eastAsia="MS Mincho" w:cs="MS Mincho"/>
          <w:color w:val="000000" w:themeColor="text1"/>
          <w:szCs w:val="24"/>
        </w:rPr>
        <w:t>：</w:t>
      </w:r>
      <w:r>
        <w:rPr>
          <w:rFonts w:ascii="宋体" w:hAnsi="宋体" w:cs="MS Mincho"/>
          <w:color w:val="000000" w:themeColor="text1"/>
          <w:szCs w:val="24"/>
        </w:rPr>
        <w:t>无</w:t>
      </w:r>
    </w:p>
    <w:p>
      <w:pPr>
        <w:pStyle w:val="62"/>
        <w:spacing w:line="360" w:lineRule="auto"/>
        <w:ind w:firstLine="482"/>
        <w:rPr>
          <w:rFonts w:ascii="宋体" w:hAnsi="宋体"/>
          <w:color w:val="000000" w:themeColor="text1"/>
          <w:szCs w:val="24"/>
        </w:rPr>
      </w:pPr>
      <w:r>
        <w:rPr>
          <w:rFonts w:ascii="MS Mincho" w:hAnsi="MS Mincho" w:eastAsia="MS Mincho" w:cs="MS Mincho"/>
          <w:b/>
          <w:color w:val="000000" w:themeColor="text1"/>
          <w:szCs w:val="24"/>
        </w:rPr>
        <w:t>开</w:t>
      </w:r>
      <w:r>
        <w:rPr>
          <w:rFonts w:hint="eastAsia" w:ascii="宋体" w:hAnsi="宋体"/>
          <w:b/>
          <w:color w:val="000000" w:themeColor="text1"/>
          <w:szCs w:val="24"/>
        </w:rPr>
        <w:t>课单</w:t>
      </w:r>
      <w:r>
        <w:rPr>
          <w:rFonts w:ascii="宋体" w:hAnsi="宋体" w:cs="MS Mincho"/>
          <w:b/>
          <w:color w:val="000000" w:themeColor="text1"/>
          <w:szCs w:val="24"/>
        </w:rPr>
        <w:t>位</w:t>
      </w:r>
      <w:r>
        <w:rPr>
          <w:rFonts w:ascii="MS Mincho" w:hAnsi="MS Mincho" w:eastAsia="MS Mincho" w:cs="MS Mincho"/>
          <w:color w:val="000000" w:themeColor="text1"/>
          <w:szCs w:val="24"/>
        </w:rPr>
        <w:t>：</w:t>
      </w:r>
      <w:r>
        <w:rPr>
          <w:rFonts w:ascii="宋体" w:hAnsi="宋体" w:cs="MS Mincho"/>
          <w:color w:val="000000" w:themeColor="text1"/>
          <w:szCs w:val="24"/>
        </w:rPr>
        <w:t>人文与国</w:t>
      </w:r>
      <w:r>
        <w:rPr>
          <w:rFonts w:hint="eastAsia" w:ascii="宋体" w:hAnsi="宋体"/>
          <w:color w:val="000000" w:themeColor="text1"/>
          <w:szCs w:val="24"/>
        </w:rPr>
        <w:t>际</w:t>
      </w:r>
      <w:r>
        <w:rPr>
          <w:rFonts w:ascii="宋体" w:hAnsi="宋体" w:cs="MS Mincho"/>
          <w:color w:val="000000" w:themeColor="text1"/>
          <w:szCs w:val="24"/>
        </w:rPr>
        <w:t>教育学院</w:t>
      </w:r>
    </w:p>
    <w:p>
      <w:pPr>
        <w:pStyle w:val="62"/>
        <w:spacing w:line="360" w:lineRule="auto"/>
        <w:ind w:firstLine="482"/>
        <w:rPr>
          <w:rFonts w:ascii="宋体" w:hAnsi="宋体"/>
          <w:color w:val="000000" w:themeColor="text1"/>
          <w:szCs w:val="24"/>
        </w:rPr>
      </w:pPr>
      <w:r>
        <w:rPr>
          <w:rFonts w:ascii="MS Mincho" w:hAnsi="MS Mincho" w:eastAsia="MS Mincho" w:cs="MS Mincho"/>
          <w:b/>
          <w:color w:val="000000" w:themeColor="text1"/>
          <w:szCs w:val="24"/>
        </w:rPr>
        <w:t>面向学科</w:t>
      </w:r>
      <w:r>
        <w:rPr>
          <w:rFonts w:hint="eastAsia" w:ascii="宋体" w:hAnsi="宋体"/>
          <w:color w:val="000000" w:themeColor="text1"/>
          <w:szCs w:val="24"/>
        </w:rPr>
        <w:t>：</w:t>
      </w:r>
      <w:r>
        <w:rPr>
          <w:rFonts w:hint="eastAsia" w:ascii="宋体" w:hAnsi="宋体" w:cs="MS Mincho"/>
          <w:color w:val="000000" w:themeColor="text1"/>
          <w:szCs w:val="24"/>
        </w:rPr>
        <w:t xml:space="preserve"> 汉语国际教育专业硕士</w:t>
      </w:r>
    </w:p>
    <w:p>
      <w:pPr>
        <w:pStyle w:val="63"/>
        <w:spacing w:line="360" w:lineRule="auto"/>
        <w:outlineLvl w:val="0"/>
        <w:rPr>
          <w:rFonts w:ascii="MS Mincho" w:hAnsi="MS Mincho" w:eastAsia="MS Mincho" w:cs="MS Mincho"/>
          <w:color w:val="000000" w:themeColor="text1"/>
          <w:szCs w:val="24"/>
        </w:rPr>
      </w:pPr>
      <w:r>
        <w:rPr>
          <w:rFonts w:ascii="MS Mincho" w:hAnsi="MS Mincho" w:eastAsia="MS Mincho" w:cs="MS Mincho"/>
          <w:color w:val="000000" w:themeColor="text1"/>
          <w:szCs w:val="24"/>
        </w:rPr>
        <w:t>一、</w:t>
      </w:r>
      <w:r>
        <w:rPr>
          <w:rFonts w:hint="eastAsia" w:ascii="MS Mincho" w:hAnsi="MS Mincho" w:eastAsia="MS Mincho" w:cs="MS Mincho"/>
          <w:color w:val="000000" w:themeColor="text1"/>
          <w:szCs w:val="24"/>
        </w:rPr>
        <w:t>课</w:t>
      </w:r>
      <w:r>
        <w:rPr>
          <w:rFonts w:ascii="MS Mincho" w:hAnsi="MS Mincho" w:eastAsia="MS Mincho" w:cs="MS Mincho"/>
          <w:color w:val="000000" w:themeColor="text1"/>
          <w:szCs w:val="24"/>
        </w:rPr>
        <w:t>程的性</w:t>
      </w:r>
      <w:r>
        <w:rPr>
          <w:rFonts w:hint="eastAsia" w:ascii="MS Mincho" w:hAnsi="MS Mincho" w:eastAsia="MS Mincho" w:cs="MS Mincho"/>
          <w:color w:val="000000" w:themeColor="text1"/>
          <w:szCs w:val="24"/>
        </w:rPr>
        <w:t>质</w:t>
      </w:r>
      <w:r>
        <w:rPr>
          <w:rFonts w:ascii="MS Mincho" w:hAnsi="MS Mincho" w:eastAsia="MS Mincho" w:cs="MS Mincho"/>
          <w:color w:val="000000" w:themeColor="text1"/>
          <w:szCs w:val="24"/>
        </w:rPr>
        <w:t>、目的和任</w:t>
      </w:r>
      <w:r>
        <w:rPr>
          <w:rFonts w:hint="eastAsia" w:ascii="MS Mincho" w:hAnsi="MS Mincho" w:eastAsia="MS Mincho" w:cs="MS Mincho"/>
          <w:color w:val="000000" w:themeColor="text1"/>
          <w:szCs w:val="24"/>
        </w:rPr>
        <w:t>务</w:t>
      </w:r>
    </w:p>
    <w:p>
      <w:pPr>
        <w:spacing w:line="360" w:lineRule="auto"/>
        <w:ind w:firstLine="480"/>
        <w:rPr>
          <w:rFonts w:ascii="宋体" w:hAnsi="宋体" w:eastAsia="宋体"/>
          <w:color w:val="000000" w:themeColor="text1"/>
        </w:rPr>
      </w:pPr>
      <w:r>
        <w:rPr>
          <w:rFonts w:ascii="MS Mincho" w:hAnsi="MS Mincho" w:eastAsia="MS Mincho" w:cs="MS Mincho"/>
          <w:color w:val="000000" w:themeColor="text1"/>
        </w:rPr>
        <w:t>《</w:t>
      </w:r>
      <w:r>
        <w:rPr>
          <w:rFonts w:hint="eastAsia" w:ascii="宋体" w:hAnsi="宋体" w:eastAsia="宋体" w:cs="MS Mincho"/>
          <w:color w:val="000000" w:themeColor="text1"/>
        </w:rPr>
        <w:t>高级</w:t>
      </w:r>
      <w:r>
        <w:rPr>
          <w:rFonts w:ascii="宋体" w:hAnsi="宋体" w:eastAsia="宋体" w:cs="宋体"/>
          <w:color w:val="000000" w:themeColor="text1"/>
        </w:rPr>
        <w:t>汉语</w:t>
      </w:r>
      <w:r>
        <w:rPr>
          <w:rFonts w:ascii="宋体" w:hAnsi="宋体" w:eastAsia="宋体" w:cs="MS Mincho"/>
          <w:color w:val="000000" w:themeColor="text1"/>
        </w:rPr>
        <w:t>》是</w:t>
      </w:r>
      <w:r>
        <w:rPr>
          <w:rFonts w:hint="eastAsia" w:ascii="宋体" w:hAnsi="宋体" w:eastAsia="宋体"/>
          <w:color w:val="000000" w:themeColor="text1"/>
        </w:rPr>
        <w:t>汉语</w:t>
      </w:r>
      <w:r>
        <w:rPr>
          <w:rFonts w:ascii="宋体" w:hAnsi="宋体" w:eastAsia="宋体" w:cs="MS Mincho"/>
          <w:color w:val="000000" w:themeColor="text1"/>
        </w:rPr>
        <w:t>国</w:t>
      </w:r>
      <w:r>
        <w:rPr>
          <w:rFonts w:hint="eastAsia" w:ascii="宋体" w:hAnsi="宋体" w:eastAsia="宋体"/>
          <w:color w:val="000000" w:themeColor="text1"/>
        </w:rPr>
        <w:t>际</w:t>
      </w:r>
      <w:r>
        <w:rPr>
          <w:rFonts w:ascii="宋体" w:hAnsi="宋体" w:eastAsia="宋体" w:cs="MS Mincho"/>
          <w:color w:val="000000" w:themeColor="text1"/>
        </w:rPr>
        <w:t>教育</w:t>
      </w:r>
      <w:r>
        <w:rPr>
          <w:rFonts w:hint="eastAsia" w:ascii="宋体" w:hAnsi="宋体" w:eastAsia="宋体"/>
          <w:color w:val="000000" w:themeColor="text1"/>
        </w:rPr>
        <w:t>专业</w:t>
      </w:r>
      <w:r>
        <w:rPr>
          <w:rFonts w:ascii="宋体" w:hAnsi="宋体" w:eastAsia="宋体" w:cs="MS Mincho"/>
          <w:color w:val="000000" w:themeColor="text1"/>
        </w:rPr>
        <w:t>留学生研究生公共学位</w:t>
      </w:r>
      <w:r>
        <w:rPr>
          <w:rFonts w:hint="eastAsia" w:ascii="宋体" w:hAnsi="宋体" w:eastAsia="宋体"/>
          <w:color w:val="000000" w:themeColor="text1"/>
        </w:rPr>
        <w:t>课</w:t>
      </w:r>
      <w:r>
        <w:rPr>
          <w:rFonts w:ascii="宋体" w:hAnsi="宋体" w:eastAsia="宋体" w:cs="MS Mincho"/>
          <w:color w:val="000000" w:themeColor="text1"/>
        </w:rPr>
        <w:t>。</w:t>
      </w:r>
      <w:r>
        <w:rPr>
          <w:rFonts w:hint="eastAsia" w:ascii="宋体" w:hAnsi="宋体" w:eastAsia="宋体" w:cs="宋体"/>
          <w:color w:val="000000" w:themeColor="text1"/>
        </w:rPr>
        <w:t>课程</w:t>
      </w:r>
      <w:r>
        <w:rPr>
          <w:rFonts w:ascii="宋体" w:hAnsi="宋体" w:eastAsia="宋体" w:cs="宋体"/>
          <w:color w:val="000000" w:themeColor="text1"/>
        </w:rPr>
        <w:t>任务</w:t>
      </w:r>
      <w:r>
        <w:rPr>
          <w:rFonts w:hint="eastAsia" w:ascii="宋体" w:hAnsi="宋体" w:eastAsia="宋体"/>
          <w:color w:val="000000" w:themeColor="text1"/>
        </w:rPr>
        <w:t>在于进一步提高学生的汉语水平和汉语交际能力，以适应将从事的汉语教学的需要。课</w:t>
      </w:r>
      <w:r>
        <w:rPr>
          <w:rFonts w:ascii="宋体" w:hAnsi="宋体" w:eastAsia="宋体" w:cs="MS Mincho"/>
          <w:color w:val="000000" w:themeColor="text1"/>
        </w:rPr>
        <w:t>程目</w:t>
      </w:r>
      <w:r>
        <w:rPr>
          <w:rFonts w:hint="eastAsia" w:ascii="宋体" w:hAnsi="宋体" w:eastAsia="宋体"/>
          <w:color w:val="000000" w:themeColor="text1"/>
        </w:rPr>
        <w:t>标：1.系统学习汉语语音、词汇、语法及篇章结构等知识，掌握词汇 5000个。2.</w:t>
      </w:r>
      <w:r>
        <w:rPr>
          <w:rFonts w:ascii="宋体" w:hAnsi="宋体" w:eastAsia="宋体"/>
          <w:color w:val="000000" w:themeColor="text1"/>
        </w:rPr>
        <w:t>能够基本理解语言难度较高的口头或书面材料；</w:t>
      </w:r>
      <w:r>
        <w:rPr>
          <w:rFonts w:hint="eastAsia" w:ascii="宋体" w:hAnsi="宋体" w:eastAsia="宋体"/>
          <w:color w:val="000000" w:themeColor="text1"/>
        </w:rPr>
        <w:t>3.</w:t>
      </w:r>
      <w:r>
        <w:rPr>
          <w:rFonts w:ascii="宋体" w:hAnsi="宋体" w:eastAsia="宋体"/>
          <w:color w:val="000000" w:themeColor="text1"/>
        </w:rPr>
        <w:t>能够就社会</w:t>
      </w:r>
      <w:r>
        <w:rPr>
          <w:rFonts w:hint="eastAsia" w:ascii="宋体" w:hAnsi="宋体" w:eastAsia="宋体"/>
          <w:color w:val="000000" w:themeColor="text1"/>
        </w:rPr>
        <w:t>、</w:t>
      </w:r>
      <w:r>
        <w:rPr>
          <w:rFonts w:ascii="宋体" w:hAnsi="宋体" w:eastAsia="宋体"/>
          <w:color w:val="000000" w:themeColor="text1"/>
        </w:rPr>
        <w:t>政治</w:t>
      </w:r>
      <w:r>
        <w:rPr>
          <w:rFonts w:hint="eastAsia" w:ascii="宋体" w:hAnsi="宋体" w:eastAsia="宋体"/>
          <w:color w:val="000000" w:themeColor="text1"/>
        </w:rPr>
        <w:t>、</w:t>
      </w:r>
      <w:r>
        <w:rPr>
          <w:rFonts w:ascii="宋体" w:hAnsi="宋体" w:eastAsia="宋体"/>
          <w:color w:val="000000" w:themeColor="text1"/>
        </w:rPr>
        <w:t>伦理</w:t>
      </w:r>
      <w:r>
        <w:rPr>
          <w:rFonts w:hint="eastAsia" w:ascii="宋体" w:hAnsi="宋体" w:eastAsia="宋体"/>
          <w:color w:val="000000" w:themeColor="text1"/>
        </w:rPr>
        <w:t>、</w:t>
      </w:r>
      <w:r>
        <w:rPr>
          <w:rFonts w:ascii="宋体" w:hAnsi="宋体" w:eastAsia="宋体"/>
          <w:color w:val="000000" w:themeColor="text1"/>
        </w:rPr>
        <w:t>文学艺术和科技等主题或话题进行较为深入的口头和书面交流；</w:t>
      </w:r>
      <w:r>
        <w:rPr>
          <w:rFonts w:hint="eastAsia" w:ascii="宋体" w:hAnsi="宋体" w:eastAsia="宋体"/>
          <w:color w:val="000000" w:themeColor="text1"/>
        </w:rPr>
        <w:t>4.</w:t>
      </w:r>
      <w:r>
        <w:rPr>
          <w:rFonts w:ascii="宋体" w:hAnsi="宋体" w:eastAsia="宋体"/>
          <w:color w:val="000000" w:themeColor="text1"/>
        </w:rPr>
        <w:t>能够借助网络资源、工具书或他人的帮助，对汉语报刊等进行处理和加工，理解主旨思想和重要细节，表达比较流畅。</w:t>
      </w:r>
    </w:p>
    <w:p>
      <w:pPr>
        <w:pStyle w:val="63"/>
        <w:spacing w:line="360" w:lineRule="auto"/>
        <w:outlineLvl w:val="0"/>
        <w:rPr>
          <w:rFonts w:ascii="MS Mincho" w:hAnsi="MS Mincho" w:eastAsia="MS Mincho" w:cs="MS Mincho"/>
          <w:color w:val="000000" w:themeColor="text1"/>
          <w:szCs w:val="24"/>
        </w:rPr>
      </w:pPr>
      <w:r>
        <w:rPr>
          <w:rFonts w:ascii="MS Mincho" w:hAnsi="MS Mincho" w:eastAsia="MS Mincho" w:cs="MS Mincho"/>
          <w:color w:val="000000" w:themeColor="text1"/>
          <w:szCs w:val="24"/>
        </w:rPr>
        <w:t>二、教学内容及教学基本要求</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第一章 导论、汉语</w:t>
      </w:r>
      <w:r>
        <w:rPr>
          <w:rFonts w:ascii="宋体" w:hAnsi="宋体" w:eastAsia="宋体"/>
          <w:color w:val="000000" w:themeColor="text1"/>
        </w:rPr>
        <w:t>语音</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第二章 汉字</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第一节  汉字的结构单位</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第二节  汉字造字法</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第三章  词汇</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第一节  语素与词的构成</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第二节 词汇与短语</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第三节 熟语、成语</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第四章 语法</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 xml:space="preserve">   第一节</w:t>
      </w:r>
      <w:r>
        <w:rPr>
          <w:rFonts w:ascii="宋体" w:hAnsi="宋体" w:eastAsia="宋体"/>
          <w:color w:val="000000" w:themeColor="text1"/>
        </w:rPr>
        <w:t xml:space="preserve"> 语法概述 </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第二节</w:t>
      </w:r>
      <w:r>
        <w:rPr>
          <w:rFonts w:ascii="宋体" w:hAnsi="宋体" w:eastAsia="宋体"/>
          <w:color w:val="000000" w:themeColor="text1"/>
        </w:rPr>
        <w:t xml:space="preserve"> 词类及其功能 </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 xml:space="preserve">第三节 </w:t>
      </w:r>
      <w:r>
        <w:rPr>
          <w:rFonts w:ascii="宋体" w:hAnsi="宋体" w:eastAsia="宋体"/>
          <w:color w:val="000000" w:themeColor="text1"/>
        </w:rPr>
        <w:t>易混词类的辨析</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第四节</w:t>
      </w:r>
      <w:r>
        <w:rPr>
          <w:rFonts w:ascii="宋体" w:hAnsi="宋体" w:eastAsia="宋体"/>
          <w:color w:val="000000" w:themeColor="text1"/>
        </w:rPr>
        <w:t xml:space="preserve"> 短语</w:t>
      </w:r>
      <w:r>
        <w:rPr>
          <w:rFonts w:hint="eastAsia" w:ascii="宋体" w:hAnsi="宋体" w:eastAsia="宋体"/>
          <w:color w:val="000000" w:themeColor="text1"/>
        </w:rPr>
        <w:t>的</w:t>
      </w:r>
      <w:r>
        <w:rPr>
          <w:rFonts w:ascii="宋体" w:hAnsi="宋体" w:eastAsia="宋体"/>
          <w:color w:val="000000" w:themeColor="text1"/>
        </w:rPr>
        <w:t>分类</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第五节</w:t>
      </w:r>
      <w:r>
        <w:rPr>
          <w:rFonts w:ascii="宋体" w:hAnsi="宋体" w:eastAsia="宋体"/>
          <w:color w:val="000000" w:themeColor="text1"/>
        </w:rPr>
        <w:t xml:space="preserve"> 单句的句子成分与句法分析 </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第六节</w:t>
      </w:r>
      <w:r>
        <w:rPr>
          <w:rFonts w:ascii="宋体" w:hAnsi="宋体" w:eastAsia="宋体"/>
          <w:color w:val="000000" w:themeColor="text1"/>
        </w:rPr>
        <w:t xml:space="preserve"> 句型 </w:t>
      </w:r>
    </w:p>
    <w:p>
      <w:pPr>
        <w:spacing w:line="240" w:lineRule="atLeast"/>
        <w:ind w:left="840" w:leftChars="400"/>
        <w:rPr>
          <w:rFonts w:ascii="宋体" w:hAnsi="宋体" w:eastAsia="宋体"/>
          <w:color w:val="000000" w:themeColor="text1"/>
        </w:rPr>
      </w:pPr>
      <w:r>
        <w:rPr>
          <w:rFonts w:hint="eastAsia" w:ascii="宋体" w:hAnsi="宋体" w:eastAsia="宋体"/>
          <w:color w:val="000000" w:themeColor="text1"/>
        </w:rPr>
        <w:t>第七节</w:t>
      </w:r>
      <w:r>
        <w:rPr>
          <w:rFonts w:ascii="宋体" w:hAnsi="宋体" w:eastAsia="宋体"/>
          <w:color w:val="000000" w:themeColor="text1"/>
        </w:rPr>
        <w:t xml:space="preserve"> 句式 一、主谓谓语句、双宾句、兼语句和连谓句 </w:t>
      </w:r>
      <w:r>
        <w:rPr>
          <w:rFonts w:hint="eastAsia" w:ascii="宋体" w:hAnsi="宋体" w:eastAsia="宋体"/>
          <w:color w:val="000000" w:themeColor="text1"/>
        </w:rPr>
        <w:t>二</w:t>
      </w:r>
      <w:r>
        <w:rPr>
          <w:rFonts w:ascii="宋体" w:hAnsi="宋体" w:eastAsia="宋体"/>
          <w:color w:val="000000" w:themeColor="text1"/>
        </w:rPr>
        <w:t xml:space="preserve">、把字句、被字句和连字句 </w:t>
      </w:r>
      <w:r>
        <w:rPr>
          <w:rFonts w:hint="eastAsia" w:ascii="宋体" w:hAnsi="宋体" w:eastAsia="宋体"/>
          <w:color w:val="000000" w:themeColor="text1"/>
        </w:rPr>
        <w:t>三</w:t>
      </w:r>
      <w:r>
        <w:rPr>
          <w:rFonts w:ascii="宋体" w:hAnsi="宋体" w:eastAsia="宋体"/>
          <w:color w:val="000000" w:themeColor="text1"/>
        </w:rPr>
        <w:t xml:space="preserve">、存现句 </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第八节</w:t>
      </w:r>
      <w:r>
        <w:rPr>
          <w:rFonts w:ascii="宋体" w:hAnsi="宋体" w:eastAsia="宋体"/>
          <w:color w:val="000000" w:themeColor="text1"/>
        </w:rPr>
        <w:t xml:space="preserve">  复句 </w:t>
      </w:r>
    </w:p>
    <w:p>
      <w:pPr>
        <w:spacing w:line="240" w:lineRule="atLeast"/>
        <w:ind w:firstLine="840" w:firstLineChars="400"/>
        <w:rPr>
          <w:rFonts w:ascii="宋体" w:hAnsi="宋体" w:eastAsia="宋体"/>
          <w:color w:val="000000" w:themeColor="text1"/>
        </w:rPr>
      </w:pPr>
      <w:r>
        <w:rPr>
          <w:rFonts w:hint="eastAsia" w:ascii="宋体" w:hAnsi="宋体" w:eastAsia="宋体"/>
          <w:color w:val="000000" w:themeColor="text1"/>
        </w:rPr>
        <w:t>第九节</w:t>
      </w:r>
      <w:r>
        <w:rPr>
          <w:rFonts w:ascii="宋体" w:hAnsi="宋体" w:eastAsia="宋体"/>
          <w:color w:val="000000" w:themeColor="text1"/>
        </w:rPr>
        <w:t xml:space="preserve"> 句子常见的语法错误 </w:t>
      </w:r>
    </w:p>
    <w:p>
      <w:pPr>
        <w:spacing w:line="240" w:lineRule="atLeast"/>
        <w:ind w:firstLine="480"/>
        <w:rPr>
          <w:rFonts w:ascii="宋体" w:hAnsi="宋体" w:eastAsia="宋体"/>
          <w:color w:val="000000" w:themeColor="text1"/>
        </w:rPr>
      </w:pPr>
      <w:r>
        <w:rPr>
          <w:rFonts w:hint="eastAsia" w:ascii="宋体" w:hAnsi="宋体" w:eastAsia="宋体"/>
          <w:color w:val="000000" w:themeColor="text1"/>
        </w:rPr>
        <w:t>第五章  HSK六级辅导</w:t>
      </w:r>
    </w:p>
    <w:p>
      <w:pPr>
        <w:spacing w:line="360" w:lineRule="auto"/>
        <w:ind w:firstLine="480"/>
        <w:rPr>
          <w:rFonts w:ascii="宋体" w:hAnsi="宋体" w:eastAsia="宋体"/>
          <w:color w:val="000000" w:themeColor="text1"/>
        </w:rPr>
      </w:pPr>
      <w:r>
        <w:rPr>
          <w:rFonts w:hint="eastAsia" w:ascii="宋体" w:hAnsi="宋体" w:eastAsia="宋体"/>
          <w:color w:val="000000" w:themeColor="text1"/>
        </w:rPr>
        <w:t xml:space="preserve">    </w:t>
      </w:r>
    </w:p>
    <w:p>
      <w:pPr>
        <w:spacing w:line="360" w:lineRule="auto"/>
        <w:ind w:firstLine="480"/>
        <w:rPr>
          <w:rFonts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 xml:space="preserve">三、学时分配表 </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ascii="MS Mincho" w:hAnsi="MS Mincho" w:eastAsia="MS Mincho" w:cs="MS Mincho"/>
                <w:color w:val="000000" w:themeColor="text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导论 第一章  汉语语音</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第二章 汉字（汉字的结构单位 汉字造字法）</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第三章 词汇</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第四章 语法（第一节 概述  第二节 词类及其功能  第三节</w:t>
            </w:r>
            <w:r>
              <w:rPr>
                <w:rFonts w:ascii="宋体" w:hAnsi="宋体" w:eastAsia="宋体" w:cs="宋体"/>
                <w:color w:val="000000" w:themeColor="text1"/>
              </w:rPr>
              <w:t xml:space="preserve"> 易混词类的辨析</w:t>
            </w:r>
            <w:r>
              <w:rPr>
                <w:rFonts w:hint="eastAsia" w:ascii="宋体" w:hAnsi="宋体" w:eastAsia="宋体" w:cs="宋体"/>
                <w:color w:val="000000" w:themeColor="text1"/>
              </w:rPr>
              <w:t>）</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第四章</w:t>
            </w:r>
            <w:r>
              <w:rPr>
                <w:rFonts w:ascii="宋体" w:hAnsi="宋体" w:eastAsia="宋体" w:cs="宋体"/>
                <w:color w:val="000000" w:themeColor="text1"/>
              </w:rPr>
              <w:t xml:space="preserve"> 语法</w:t>
            </w:r>
            <w:r>
              <w:rPr>
                <w:rFonts w:hint="eastAsia" w:ascii="宋体" w:hAnsi="宋体" w:eastAsia="宋体" w:cs="宋体"/>
                <w:color w:val="000000" w:themeColor="text1"/>
              </w:rPr>
              <w:t>（第四节</w:t>
            </w:r>
            <w:r>
              <w:rPr>
                <w:rFonts w:ascii="宋体" w:hAnsi="宋体" w:eastAsia="宋体" w:cs="宋体"/>
                <w:color w:val="000000" w:themeColor="text1"/>
              </w:rPr>
              <w:t xml:space="preserve"> 短语的分类</w:t>
            </w:r>
            <w:r>
              <w:rPr>
                <w:rFonts w:hint="eastAsia" w:ascii="宋体" w:hAnsi="宋体" w:eastAsia="宋体" w:cs="宋体"/>
                <w:color w:val="000000" w:themeColor="text1"/>
              </w:rPr>
              <w:t>）</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第四章</w:t>
            </w:r>
            <w:r>
              <w:rPr>
                <w:rFonts w:ascii="宋体" w:hAnsi="宋体" w:eastAsia="宋体" w:cs="宋体"/>
                <w:color w:val="000000" w:themeColor="text1"/>
              </w:rPr>
              <w:t xml:space="preserve"> 语法（</w:t>
            </w:r>
            <w:r>
              <w:rPr>
                <w:rFonts w:hint="eastAsia" w:ascii="宋体" w:hAnsi="宋体" w:eastAsia="宋体" w:cs="宋体"/>
                <w:color w:val="000000" w:themeColor="text1"/>
              </w:rPr>
              <w:t>第五节</w:t>
            </w:r>
            <w:r>
              <w:rPr>
                <w:rFonts w:ascii="宋体" w:hAnsi="宋体" w:eastAsia="宋体" w:cs="宋体"/>
                <w:color w:val="000000" w:themeColor="text1"/>
              </w:rPr>
              <w:t xml:space="preserve"> 单句的句子成分与句法分析 </w:t>
            </w:r>
            <w:r>
              <w:rPr>
                <w:rFonts w:hint="eastAsia" w:ascii="宋体" w:hAnsi="宋体" w:eastAsia="宋体" w:cs="宋体"/>
                <w:color w:val="000000" w:themeColor="text1"/>
              </w:rPr>
              <w:t>第六节</w:t>
            </w:r>
            <w:r>
              <w:rPr>
                <w:rFonts w:ascii="宋体" w:hAnsi="宋体" w:eastAsia="宋体" w:cs="宋体"/>
                <w:color w:val="000000" w:themeColor="text1"/>
              </w:rPr>
              <w:t xml:space="preserve"> 句型</w:t>
            </w:r>
            <w:r>
              <w:rPr>
                <w:rFonts w:hint="eastAsia" w:ascii="宋体" w:hAnsi="宋体" w:eastAsia="宋体" w:cs="宋体"/>
                <w:color w:val="000000" w:themeColor="text1"/>
              </w:rPr>
              <w:t>）</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第四章</w:t>
            </w:r>
            <w:r>
              <w:rPr>
                <w:rFonts w:ascii="宋体" w:hAnsi="宋体" w:eastAsia="宋体" w:cs="宋体"/>
                <w:color w:val="000000" w:themeColor="text1"/>
              </w:rPr>
              <w:t xml:space="preserve"> 语法</w:t>
            </w:r>
            <w:r>
              <w:rPr>
                <w:rFonts w:hint="eastAsia" w:ascii="宋体" w:hAnsi="宋体" w:eastAsia="宋体" w:cs="宋体"/>
                <w:color w:val="000000" w:themeColor="text1"/>
              </w:rPr>
              <w:t>（第七节</w:t>
            </w:r>
            <w:r>
              <w:rPr>
                <w:rFonts w:ascii="宋体" w:hAnsi="宋体" w:eastAsia="宋体" w:cs="宋体"/>
                <w:color w:val="000000" w:themeColor="text1"/>
              </w:rPr>
              <w:t xml:space="preserve"> 句式 一、主谓谓语句、双宾句、兼语句和连谓句 二、把字句、被字句和连字句 三、存现句</w:t>
            </w:r>
            <w:r>
              <w:rPr>
                <w:rFonts w:hint="eastAsia" w:ascii="宋体" w:hAnsi="宋体" w:eastAsia="宋体" w:cs="宋体"/>
                <w:color w:val="000000" w:themeColor="text1"/>
              </w:rPr>
              <w:t>）</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第四章 语法（第八节</w:t>
            </w:r>
            <w:r>
              <w:rPr>
                <w:rFonts w:ascii="宋体" w:hAnsi="宋体" w:eastAsia="宋体" w:cs="宋体"/>
                <w:color w:val="000000" w:themeColor="text1"/>
              </w:rPr>
              <w:t xml:space="preserve">  复句 </w:t>
            </w:r>
          </w:p>
          <w:p>
            <w:pPr>
              <w:widowControl/>
              <w:spacing w:line="360" w:lineRule="auto"/>
              <w:rPr>
                <w:rFonts w:ascii="宋体" w:hAnsi="宋体" w:eastAsia="宋体" w:cs="宋体"/>
                <w:color w:val="000000" w:themeColor="text1"/>
              </w:rPr>
            </w:pPr>
            <w:r>
              <w:rPr>
                <w:rFonts w:hint="eastAsia" w:ascii="宋体" w:hAnsi="宋体" w:eastAsia="宋体" w:cs="宋体"/>
                <w:color w:val="000000" w:themeColor="text1"/>
              </w:rPr>
              <w:t>第九节</w:t>
            </w:r>
            <w:r>
              <w:rPr>
                <w:rFonts w:ascii="宋体" w:hAnsi="宋体" w:eastAsia="宋体" w:cs="宋体"/>
                <w:color w:val="000000" w:themeColor="text1"/>
              </w:rPr>
              <w:t xml:space="preserve"> 句子常见的语法错误</w:t>
            </w:r>
            <w:r>
              <w:rPr>
                <w:rFonts w:hint="eastAsia" w:ascii="宋体" w:hAnsi="宋体" w:eastAsia="宋体" w:cs="宋体"/>
                <w:color w:val="000000" w:themeColor="text1"/>
              </w:rPr>
              <w:t>）</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MS Mincho"/>
                <w:color w:val="000000" w:themeColor="text1"/>
              </w:rPr>
            </w:pPr>
            <w:r>
              <w:rPr>
                <w:rFonts w:hint="eastAsia" w:ascii="宋体" w:hAnsi="宋体" w:eastAsia="宋体" w:cs="MS Mincho"/>
                <w:color w:val="000000" w:themeColor="text1"/>
              </w:rPr>
              <w:t>9</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eastAsia="宋体" w:cs="宋体"/>
                <w:color w:val="000000" w:themeColor="text1"/>
              </w:rPr>
            </w:pPr>
            <w:r>
              <w:rPr>
                <w:rFonts w:ascii="宋体" w:hAnsi="宋体" w:eastAsia="宋体" w:cs="宋体"/>
                <w:color w:val="000000" w:themeColor="text1"/>
              </w:rPr>
              <w:t>第五章</w:t>
            </w:r>
            <w:r>
              <w:rPr>
                <w:rFonts w:hint="eastAsia" w:ascii="宋体" w:hAnsi="宋体" w:eastAsia="宋体" w:cs="宋体"/>
                <w:color w:val="000000" w:themeColor="text1"/>
              </w:rPr>
              <w:t xml:space="preserve">  HSK辅导</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ascii="宋体" w:hAnsi="宋体" w:eastAsia="宋体" w:cs="MS Mincho"/>
                <w:color w:val="000000" w:themeColor="text1"/>
              </w:rPr>
              <w:t>合</w:t>
            </w:r>
            <w:r>
              <w:rPr>
                <w:rFonts w:hint="eastAsia" w:ascii="宋体" w:hAnsi="宋体" w:eastAsia="宋体" w:cs="宋体"/>
                <w:color w:val="000000" w:themeColor="text1"/>
              </w:rPr>
              <w:t>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32</w:t>
            </w:r>
          </w:p>
        </w:tc>
      </w:tr>
    </w:tbl>
    <w:p>
      <w:pPr>
        <w:pStyle w:val="63"/>
        <w:spacing w:line="360" w:lineRule="auto"/>
        <w:outlineLvl w:val="0"/>
        <w:rPr>
          <w:rFonts w:ascii="MS Mincho" w:hAnsi="MS Mincho" w:eastAsia="MS Mincho" w:cs="MS Mincho"/>
          <w:color w:val="000000" w:themeColor="text1"/>
          <w:szCs w:val="24"/>
        </w:rPr>
      </w:pPr>
      <w:r>
        <w:rPr>
          <w:rFonts w:ascii="MS Mincho" w:hAnsi="MS Mincho" w:eastAsia="MS Mincho" w:cs="MS Mincho"/>
          <w:color w:val="000000" w:themeColor="text1"/>
          <w:szCs w:val="24"/>
        </w:rPr>
        <w:t>四、</w:t>
      </w:r>
      <w:r>
        <w:rPr>
          <w:rFonts w:hint="eastAsia" w:ascii="MS Mincho" w:hAnsi="MS Mincho" w:eastAsia="MS Mincho" w:cs="MS Mincho"/>
          <w:color w:val="000000" w:themeColor="text1"/>
          <w:szCs w:val="24"/>
        </w:rPr>
        <w:t>课</w:t>
      </w:r>
      <w:r>
        <w:rPr>
          <w:rFonts w:ascii="MS Mincho" w:hAnsi="MS Mincho" w:eastAsia="MS Mincho" w:cs="MS Mincho"/>
          <w:color w:val="000000" w:themeColor="text1"/>
          <w:szCs w:val="24"/>
        </w:rPr>
        <w:t>程考核方法及要求</w:t>
      </w:r>
    </w:p>
    <w:p>
      <w:pPr>
        <w:pStyle w:val="64"/>
        <w:spacing w:line="360" w:lineRule="auto"/>
        <w:ind w:firstLine="480"/>
        <w:rPr>
          <w:rFonts w:ascii="宋体" w:hAnsi="宋体"/>
          <w:color w:val="000000" w:themeColor="text1"/>
          <w:sz w:val="24"/>
          <w:szCs w:val="24"/>
        </w:rPr>
      </w:pPr>
      <w:r>
        <w:rPr>
          <w:rFonts w:ascii="宋体" w:hAnsi="宋体"/>
          <w:color w:val="000000" w:themeColor="text1"/>
          <w:sz w:val="24"/>
          <w:szCs w:val="24"/>
        </w:rPr>
        <w:t>1</w:t>
      </w:r>
      <w:r>
        <w:rPr>
          <w:rFonts w:ascii="宋体" w:hAnsi="宋体" w:cs="MS Mincho"/>
          <w:color w:val="000000" w:themeColor="text1"/>
          <w:sz w:val="24"/>
          <w:szCs w:val="24"/>
        </w:rPr>
        <w:t>．考核方式：考</w:t>
      </w:r>
      <w:r>
        <w:rPr>
          <w:rFonts w:hint="eastAsia" w:ascii="宋体" w:hAnsi="宋体"/>
          <w:color w:val="000000" w:themeColor="text1"/>
          <w:sz w:val="24"/>
          <w:szCs w:val="24"/>
        </w:rPr>
        <w:t>试</w:t>
      </w:r>
      <w:r>
        <w:rPr>
          <w:rFonts w:ascii="宋体" w:hAnsi="宋体" w:cs="MS Mincho"/>
          <w:color w:val="000000" w:themeColor="text1"/>
          <w:sz w:val="24"/>
          <w:szCs w:val="24"/>
        </w:rPr>
        <w:t>（</w:t>
      </w:r>
      <w:r>
        <w:rPr>
          <w:rFonts w:ascii="宋体" w:hAnsi="宋体" w:cs="Helvetica"/>
          <w:color w:val="000000" w:themeColor="text1"/>
          <w:sz w:val="24"/>
          <w:szCs w:val="24"/>
        </w:rPr>
        <w:t>√</w:t>
      </w:r>
      <w:r>
        <w:rPr>
          <w:rFonts w:ascii="宋体" w:hAnsi="宋体" w:cs="MS Mincho"/>
          <w:color w:val="000000" w:themeColor="text1"/>
          <w:sz w:val="24"/>
          <w:szCs w:val="24"/>
        </w:rPr>
        <w:t>）；考</w:t>
      </w:r>
      <w:r>
        <w:rPr>
          <w:rFonts w:hint="eastAsia" w:ascii="宋体" w:hAnsi="宋体"/>
          <w:color w:val="000000" w:themeColor="text1"/>
          <w:sz w:val="24"/>
          <w:szCs w:val="24"/>
        </w:rPr>
        <w:t>查</w:t>
      </w:r>
      <w:r>
        <w:rPr>
          <w:rFonts w:ascii="宋体" w:hAnsi="宋体" w:cs="MS Mincho"/>
          <w:color w:val="000000" w:themeColor="text1"/>
          <w:sz w:val="24"/>
          <w:szCs w:val="24"/>
        </w:rPr>
        <w:t>（）</w:t>
      </w:r>
    </w:p>
    <w:p>
      <w:pPr>
        <w:spacing w:line="360" w:lineRule="auto"/>
        <w:ind w:left="420" w:leftChars="200" w:firstLine="420" w:firstLineChars="200"/>
        <w:rPr>
          <w:rFonts w:ascii="宋体" w:hAnsi="宋体" w:eastAsia="宋体"/>
          <w:color w:val="000000" w:themeColor="text1"/>
        </w:rPr>
      </w:pPr>
      <w:r>
        <w:rPr>
          <w:rFonts w:ascii="宋体" w:hAnsi="宋体" w:eastAsia="宋体" w:cs="MS Mincho"/>
          <w:color w:val="000000" w:themeColor="text1"/>
        </w:rPr>
        <w:t>考核采用平</w:t>
      </w:r>
      <w:r>
        <w:rPr>
          <w:rFonts w:hint="eastAsia" w:ascii="宋体" w:hAnsi="宋体" w:eastAsia="宋体"/>
          <w:color w:val="000000" w:themeColor="text1"/>
        </w:rPr>
        <w:t>时阶</w:t>
      </w:r>
      <w:r>
        <w:rPr>
          <w:rFonts w:ascii="宋体" w:hAnsi="宋体" w:eastAsia="宋体" w:cs="MS Mincho"/>
          <w:color w:val="000000" w:themeColor="text1"/>
        </w:rPr>
        <w:t>段性作</w:t>
      </w:r>
      <w:r>
        <w:rPr>
          <w:rFonts w:hint="eastAsia" w:ascii="宋体" w:hAnsi="宋体" w:eastAsia="宋体"/>
          <w:color w:val="000000" w:themeColor="text1"/>
        </w:rPr>
        <w:t>业检测</w:t>
      </w:r>
      <w:r>
        <w:rPr>
          <w:rFonts w:ascii="宋体" w:hAnsi="宋体" w:eastAsia="宋体" w:cs="MS Mincho"/>
          <w:color w:val="000000" w:themeColor="text1"/>
        </w:rPr>
        <w:t>和期末</w:t>
      </w:r>
      <w:r>
        <w:rPr>
          <w:rFonts w:hint="eastAsia" w:ascii="宋体" w:hAnsi="宋体" w:eastAsia="宋体"/>
          <w:color w:val="000000" w:themeColor="text1"/>
        </w:rPr>
        <w:t>试</w:t>
      </w:r>
      <w:r>
        <w:rPr>
          <w:rFonts w:ascii="宋体" w:hAnsi="宋体" w:eastAsia="宋体" w:cs="MS Mincho"/>
          <w:color w:val="000000" w:themeColor="text1"/>
        </w:rPr>
        <w:t>卷考</w:t>
      </w:r>
      <w:r>
        <w:rPr>
          <w:rFonts w:hint="eastAsia" w:ascii="宋体" w:hAnsi="宋体" w:eastAsia="宋体"/>
          <w:color w:val="000000" w:themeColor="text1"/>
        </w:rPr>
        <w:t>试</w:t>
      </w:r>
      <w:r>
        <w:rPr>
          <w:rFonts w:ascii="宋体" w:hAnsi="宋体" w:eastAsia="宋体" w:cs="MS Mincho"/>
          <w:color w:val="000000" w:themeColor="text1"/>
        </w:rPr>
        <w:t>相</w:t>
      </w:r>
      <w:r>
        <w:rPr>
          <w:rFonts w:hint="eastAsia" w:ascii="宋体" w:hAnsi="宋体" w:eastAsia="宋体"/>
          <w:color w:val="000000" w:themeColor="text1"/>
        </w:rPr>
        <w:t>结</w:t>
      </w:r>
      <w:r>
        <w:rPr>
          <w:rFonts w:ascii="宋体" w:hAnsi="宋体" w:eastAsia="宋体" w:cs="MS Mincho"/>
          <w:color w:val="000000" w:themeColor="text1"/>
        </w:rPr>
        <w:t>合的方式</w:t>
      </w:r>
      <w:r>
        <w:rPr>
          <w:rFonts w:hint="eastAsia" w:ascii="宋体" w:hAnsi="宋体" w:eastAsia="宋体"/>
          <w:color w:val="000000" w:themeColor="text1"/>
        </w:rPr>
        <w:t>进</w:t>
      </w:r>
      <w:r>
        <w:rPr>
          <w:rFonts w:ascii="宋体" w:hAnsi="宋体" w:eastAsia="宋体" w:cs="MS Mincho"/>
          <w:color w:val="000000" w:themeColor="text1"/>
        </w:rPr>
        <w:t>行，平</w:t>
      </w:r>
      <w:r>
        <w:rPr>
          <w:rFonts w:hint="eastAsia" w:ascii="宋体" w:hAnsi="宋体" w:eastAsia="宋体"/>
          <w:color w:val="000000" w:themeColor="text1"/>
        </w:rPr>
        <w:t>时</w:t>
      </w:r>
      <w:r>
        <w:rPr>
          <w:rFonts w:ascii="宋体" w:hAnsi="宋体" w:eastAsia="宋体" w:cs="MS Mincho"/>
          <w:color w:val="000000" w:themeColor="text1"/>
        </w:rPr>
        <w:t>成</w:t>
      </w:r>
      <w:r>
        <w:rPr>
          <w:rFonts w:hint="eastAsia" w:ascii="宋体" w:hAnsi="宋体" w:eastAsia="宋体"/>
          <w:color w:val="000000" w:themeColor="text1"/>
        </w:rPr>
        <w:t>绩</w:t>
      </w:r>
      <w:r>
        <w:rPr>
          <w:rFonts w:ascii="宋体" w:hAnsi="宋体" w:eastAsia="宋体" w:cs="MS Mincho"/>
          <w:color w:val="000000" w:themeColor="text1"/>
        </w:rPr>
        <w:t>包括学</w:t>
      </w:r>
      <w:r>
        <w:rPr>
          <w:rFonts w:hint="eastAsia" w:ascii="宋体" w:hAnsi="宋体" w:eastAsia="宋体"/>
          <w:color w:val="000000" w:themeColor="text1"/>
        </w:rPr>
        <w:t>习态</w:t>
      </w:r>
      <w:r>
        <w:rPr>
          <w:rFonts w:ascii="宋体" w:hAnsi="宋体" w:eastAsia="宋体" w:cs="MS Mincho"/>
          <w:color w:val="000000" w:themeColor="text1"/>
        </w:rPr>
        <w:t>度、</w:t>
      </w:r>
      <w:r>
        <w:rPr>
          <w:rFonts w:hint="eastAsia" w:ascii="宋体" w:hAnsi="宋体" w:eastAsia="宋体"/>
          <w:color w:val="000000" w:themeColor="text1"/>
        </w:rPr>
        <w:t>课</w:t>
      </w:r>
      <w:r>
        <w:rPr>
          <w:rFonts w:ascii="宋体" w:hAnsi="宋体" w:eastAsia="宋体" w:cs="MS Mincho"/>
          <w:color w:val="000000" w:themeColor="text1"/>
        </w:rPr>
        <w:t>后</w:t>
      </w:r>
      <w:r>
        <w:rPr>
          <w:rFonts w:hint="eastAsia" w:ascii="宋体" w:hAnsi="宋体" w:eastAsia="宋体"/>
          <w:color w:val="000000" w:themeColor="text1"/>
        </w:rPr>
        <w:t>习题</w:t>
      </w:r>
      <w:r>
        <w:rPr>
          <w:rFonts w:ascii="宋体" w:hAnsi="宋体" w:eastAsia="宋体" w:cs="MS Mincho"/>
          <w:color w:val="000000" w:themeColor="text1"/>
        </w:rPr>
        <w:t>、</w:t>
      </w:r>
      <w:r>
        <w:rPr>
          <w:rFonts w:hint="eastAsia" w:ascii="宋体" w:hAnsi="宋体" w:eastAsia="宋体"/>
          <w:color w:val="000000" w:themeColor="text1"/>
        </w:rPr>
        <w:t>读书报</w:t>
      </w:r>
      <w:r>
        <w:rPr>
          <w:rFonts w:ascii="宋体" w:hAnsi="宋体" w:eastAsia="宋体" w:cs="MS Mincho"/>
          <w:color w:val="000000" w:themeColor="text1"/>
        </w:rPr>
        <w:t>告、</w:t>
      </w:r>
      <w:r>
        <w:rPr>
          <w:rFonts w:hint="eastAsia" w:ascii="宋体" w:hAnsi="宋体" w:eastAsia="宋体"/>
          <w:color w:val="000000" w:themeColor="text1"/>
        </w:rPr>
        <w:t>课</w:t>
      </w:r>
      <w:r>
        <w:rPr>
          <w:rFonts w:ascii="宋体" w:hAnsi="宋体" w:eastAsia="宋体" w:cs="MS Mincho"/>
          <w:color w:val="000000" w:themeColor="text1"/>
        </w:rPr>
        <w:t>堂内外</w:t>
      </w:r>
      <w:r>
        <w:rPr>
          <w:rFonts w:hint="eastAsia" w:ascii="宋体" w:hAnsi="宋体" w:eastAsia="宋体"/>
          <w:color w:val="000000" w:themeColor="text1"/>
        </w:rPr>
        <w:t>讨论</w:t>
      </w:r>
      <w:r>
        <w:rPr>
          <w:rFonts w:ascii="宋体" w:hAnsi="宋体" w:eastAsia="宋体" w:cs="MS Mincho"/>
          <w:color w:val="000000" w:themeColor="text1"/>
        </w:rPr>
        <w:t>等占</w:t>
      </w:r>
      <w:r>
        <w:rPr>
          <w:rFonts w:hint="eastAsia" w:ascii="宋体" w:hAnsi="宋体" w:eastAsia="宋体"/>
          <w:color w:val="000000" w:themeColor="text1"/>
        </w:rPr>
        <w:t>50</w:t>
      </w:r>
      <w:r>
        <w:rPr>
          <w:rFonts w:ascii="宋体" w:hAnsi="宋体" w:eastAsia="宋体" w:cs="MS Mincho"/>
          <w:color w:val="000000" w:themeColor="text1"/>
        </w:rPr>
        <w:t>％，期末</w:t>
      </w:r>
      <w:r>
        <w:rPr>
          <w:rFonts w:hint="eastAsia" w:ascii="宋体" w:hAnsi="宋体" w:eastAsia="宋体"/>
          <w:color w:val="000000" w:themeColor="text1"/>
        </w:rPr>
        <w:t>试</w:t>
      </w:r>
      <w:r>
        <w:rPr>
          <w:rFonts w:ascii="宋体" w:hAnsi="宋体" w:eastAsia="宋体" w:cs="MS Mincho"/>
          <w:color w:val="000000" w:themeColor="text1"/>
        </w:rPr>
        <w:t>卷考</w:t>
      </w:r>
      <w:r>
        <w:rPr>
          <w:rFonts w:hint="eastAsia" w:ascii="宋体" w:hAnsi="宋体" w:eastAsia="宋体"/>
          <w:color w:val="000000" w:themeColor="text1"/>
        </w:rPr>
        <w:t>试</w:t>
      </w:r>
      <w:r>
        <w:rPr>
          <w:rFonts w:ascii="宋体" w:hAnsi="宋体" w:eastAsia="宋体" w:cs="MS Mincho"/>
          <w:color w:val="000000" w:themeColor="text1"/>
        </w:rPr>
        <w:t>成</w:t>
      </w:r>
      <w:r>
        <w:rPr>
          <w:rFonts w:hint="eastAsia" w:ascii="宋体" w:hAnsi="宋体" w:eastAsia="宋体"/>
          <w:color w:val="000000" w:themeColor="text1"/>
        </w:rPr>
        <w:t>绩</w:t>
      </w:r>
      <w:r>
        <w:rPr>
          <w:rFonts w:ascii="宋体" w:hAnsi="宋体" w:eastAsia="宋体" w:cs="MS Mincho"/>
          <w:color w:val="000000" w:themeColor="text1"/>
        </w:rPr>
        <w:t>占</w:t>
      </w:r>
      <w:r>
        <w:rPr>
          <w:rFonts w:hint="eastAsia" w:ascii="宋体" w:hAnsi="宋体" w:eastAsia="宋体"/>
          <w:color w:val="000000" w:themeColor="text1"/>
        </w:rPr>
        <w:t xml:space="preserve">50％。 </w:t>
      </w:r>
    </w:p>
    <w:p>
      <w:pPr>
        <w:pStyle w:val="64"/>
        <w:spacing w:line="360" w:lineRule="auto"/>
        <w:ind w:firstLine="480"/>
        <w:rPr>
          <w:rFonts w:ascii="宋体" w:hAnsi="宋体"/>
          <w:color w:val="000000" w:themeColor="text1"/>
          <w:sz w:val="24"/>
          <w:szCs w:val="24"/>
        </w:rPr>
      </w:pPr>
      <w:r>
        <w:rPr>
          <w:rFonts w:ascii="宋体" w:hAnsi="宋体"/>
          <w:color w:val="000000" w:themeColor="text1"/>
          <w:sz w:val="24"/>
          <w:szCs w:val="24"/>
        </w:rPr>
        <w:t>2</w:t>
      </w:r>
      <w:r>
        <w:rPr>
          <w:rFonts w:ascii="宋体" w:hAnsi="宋体" w:cs="MS Mincho"/>
          <w:color w:val="000000" w:themeColor="text1"/>
          <w:sz w:val="24"/>
          <w:szCs w:val="24"/>
        </w:rPr>
        <w:t>．成</w:t>
      </w:r>
      <w:r>
        <w:rPr>
          <w:rFonts w:hint="eastAsia" w:ascii="宋体" w:hAnsi="宋体"/>
          <w:color w:val="000000" w:themeColor="text1"/>
          <w:sz w:val="24"/>
          <w:szCs w:val="24"/>
        </w:rPr>
        <w:t>绩评</w:t>
      </w:r>
      <w:r>
        <w:rPr>
          <w:rFonts w:ascii="宋体" w:hAnsi="宋体" w:cs="MS Mincho"/>
          <w:color w:val="000000" w:themeColor="text1"/>
          <w:sz w:val="24"/>
          <w:szCs w:val="24"/>
        </w:rPr>
        <w:t>定：</w:t>
      </w:r>
    </w:p>
    <w:p>
      <w:pPr>
        <w:pStyle w:val="65"/>
        <w:spacing w:line="360" w:lineRule="auto"/>
        <w:ind w:firstLine="830"/>
        <w:rPr>
          <w:rFonts w:ascii="宋体" w:hAnsi="宋体"/>
          <w:color w:val="000000" w:themeColor="text1"/>
          <w:sz w:val="24"/>
          <w:szCs w:val="24"/>
        </w:rPr>
      </w:pPr>
      <w:r>
        <w:rPr>
          <w:rFonts w:hint="eastAsia" w:ascii="宋体" w:hAnsi="宋体"/>
          <w:color w:val="000000" w:themeColor="text1"/>
          <w:sz w:val="24"/>
          <w:szCs w:val="24"/>
        </w:rPr>
        <w:t>计分制：百分制（</w:t>
      </w:r>
      <w:r>
        <w:rPr>
          <w:rFonts w:ascii="宋体" w:hAnsi="宋体" w:cs="Helvetica"/>
          <w:color w:val="000000" w:themeColor="text1"/>
          <w:sz w:val="24"/>
          <w:szCs w:val="24"/>
        </w:rPr>
        <w:t>√</w:t>
      </w:r>
      <w:r>
        <w:rPr>
          <w:rFonts w:ascii="宋体" w:hAnsi="宋体" w:cs="MS Mincho"/>
          <w:color w:val="000000" w:themeColor="text1"/>
          <w:sz w:val="24"/>
          <w:szCs w:val="24"/>
        </w:rPr>
        <w:t>）；五</w:t>
      </w:r>
      <w:r>
        <w:rPr>
          <w:rFonts w:hint="eastAsia" w:ascii="宋体" w:hAnsi="宋体"/>
          <w:color w:val="000000" w:themeColor="text1"/>
          <w:sz w:val="24"/>
          <w:szCs w:val="24"/>
        </w:rPr>
        <w:t>级</w:t>
      </w:r>
      <w:r>
        <w:rPr>
          <w:rFonts w:ascii="宋体" w:hAnsi="宋体" w:cs="MS Mincho"/>
          <w:color w:val="000000" w:themeColor="text1"/>
          <w:sz w:val="24"/>
          <w:szCs w:val="24"/>
        </w:rPr>
        <w:t>分制（）；两</w:t>
      </w:r>
      <w:r>
        <w:rPr>
          <w:rFonts w:hint="eastAsia" w:ascii="宋体" w:hAnsi="宋体"/>
          <w:color w:val="000000" w:themeColor="text1"/>
          <w:sz w:val="24"/>
          <w:szCs w:val="24"/>
        </w:rPr>
        <w:t>级</w:t>
      </w:r>
      <w:r>
        <w:rPr>
          <w:rFonts w:ascii="宋体" w:hAnsi="宋体" w:cs="MS Mincho"/>
          <w:color w:val="000000" w:themeColor="text1"/>
          <w:sz w:val="24"/>
          <w:szCs w:val="24"/>
        </w:rPr>
        <w:t>分制（）</w:t>
      </w:r>
    </w:p>
    <w:p>
      <w:pPr>
        <w:pStyle w:val="65"/>
        <w:spacing w:line="360" w:lineRule="auto"/>
        <w:ind w:firstLine="830"/>
        <w:rPr>
          <w:rFonts w:ascii="宋体" w:hAnsi="宋体"/>
          <w:color w:val="000000" w:themeColor="text1"/>
          <w:sz w:val="24"/>
          <w:szCs w:val="24"/>
        </w:rPr>
      </w:pPr>
      <w:r>
        <w:rPr>
          <w:rFonts w:hint="eastAsia" w:ascii="宋体" w:hAnsi="宋体"/>
          <w:color w:val="000000" w:themeColor="text1"/>
          <w:sz w:val="24"/>
          <w:szCs w:val="24"/>
        </w:rPr>
        <w:t>总评成绩构成：平时考核（5</w:t>
      </w:r>
      <w:r>
        <w:rPr>
          <w:rFonts w:ascii="宋体" w:hAnsi="宋体"/>
          <w:color w:val="000000" w:themeColor="text1"/>
          <w:sz w:val="24"/>
          <w:szCs w:val="24"/>
        </w:rPr>
        <w:t>60</w:t>
      </w:r>
      <w:r>
        <w:rPr>
          <w:rFonts w:hint="eastAsia" w:ascii="宋体" w:hAnsi="宋体"/>
          <w:color w:val="000000" w:themeColor="text1"/>
          <w:sz w:val="24"/>
          <w:szCs w:val="24"/>
        </w:rPr>
        <w:t>）％；期末考核（5</w:t>
      </w:r>
      <w:r>
        <w:rPr>
          <w:rFonts w:ascii="宋体" w:hAnsi="宋体"/>
          <w:color w:val="000000" w:themeColor="text1"/>
          <w:sz w:val="24"/>
          <w:szCs w:val="24"/>
        </w:rPr>
        <w:t>0</w:t>
      </w:r>
      <w:r>
        <w:rPr>
          <w:rFonts w:hint="eastAsia" w:ascii="宋体" w:hAnsi="宋体"/>
          <w:color w:val="000000" w:themeColor="text1"/>
          <w:sz w:val="24"/>
          <w:szCs w:val="24"/>
        </w:rPr>
        <w:t>）％</w:t>
      </w:r>
    </w:p>
    <w:p>
      <w:pPr>
        <w:pStyle w:val="63"/>
        <w:spacing w:line="360" w:lineRule="auto"/>
        <w:outlineLvl w:val="0"/>
        <w:rPr>
          <w:rFonts w:ascii="宋体" w:hAnsi="宋体"/>
          <w:color w:val="000000" w:themeColor="text1"/>
          <w:szCs w:val="24"/>
        </w:rPr>
      </w:pPr>
      <w:r>
        <w:rPr>
          <w:rFonts w:ascii="MS Mincho" w:hAnsi="MS Mincho" w:eastAsia="MS Mincho" w:cs="MS Mincho"/>
          <w:color w:val="000000" w:themeColor="text1"/>
          <w:szCs w:val="24"/>
        </w:rPr>
        <w:t>五、建</w:t>
      </w:r>
      <w:r>
        <w:rPr>
          <w:rFonts w:hint="eastAsia" w:ascii="宋体" w:hAnsi="宋体"/>
          <w:color w:val="000000" w:themeColor="text1"/>
          <w:szCs w:val="24"/>
        </w:rPr>
        <w:t>议</w:t>
      </w:r>
      <w:r>
        <w:rPr>
          <w:rFonts w:ascii="MS Mincho" w:hAnsi="MS Mincho" w:eastAsia="MS Mincho" w:cs="MS Mincho"/>
          <w:color w:val="000000" w:themeColor="text1"/>
          <w:szCs w:val="24"/>
        </w:rPr>
        <w:t>教材及参考</w:t>
      </w:r>
      <w:r>
        <w:rPr>
          <w:rFonts w:hint="eastAsia" w:ascii="宋体" w:hAnsi="宋体"/>
          <w:color w:val="000000" w:themeColor="text1"/>
          <w:szCs w:val="24"/>
        </w:rPr>
        <w:t>资</w:t>
      </w:r>
      <w:r>
        <w:rPr>
          <w:rFonts w:ascii="宋体" w:hAnsi="宋体" w:cs="MS Mincho"/>
          <w:color w:val="000000" w:themeColor="text1"/>
          <w:szCs w:val="24"/>
        </w:rPr>
        <w:t>料</w:t>
      </w:r>
    </w:p>
    <w:p>
      <w:pPr>
        <w:pStyle w:val="66"/>
        <w:spacing w:line="360" w:lineRule="auto"/>
        <w:ind w:firstLine="482"/>
        <w:rPr>
          <w:rFonts w:ascii="宋体" w:hAnsi="宋体"/>
          <w:color w:val="000000" w:themeColor="text1"/>
          <w:sz w:val="24"/>
          <w:szCs w:val="24"/>
        </w:rPr>
      </w:pPr>
      <w:r>
        <w:rPr>
          <w:rFonts w:ascii="MS Mincho" w:hAnsi="MS Mincho" w:eastAsia="MS Mincho" w:cs="MS Mincho"/>
          <w:color w:val="000000" w:themeColor="text1"/>
          <w:sz w:val="24"/>
          <w:szCs w:val="24"/>
        </w:rPr>
        <w:t>建</w:t>
      </w:r>
      <w:r>
        <w:rPr>
          <w:rFonts w:hint="eastAsia" w:ascii="宋体" w:hAnsi="宋体"/>
          <w:color w:val="000000" w:themeColor="text1"/>
          <w:sz w:val="24"/>
          <w:szCs w:val="24"/>
        </w:rPr>
        <w:t>议</w:t>
      </w:r>
      <w:r>
        <w:rPr>
          <w:rFonts w:ascii="宋体" w:hAnsi="宋体" w:cs="MS Mincho"/>
          <w:color w:val="000000" w:themeColor="text1"/>
          <w:sz w:val="24"/>
          <w:szCs w:val="24"/>
        </w:rPr>
        <w:t>教材：</w:t>
      </w:r>
      <w:r>
        <w:rPr>
          <w:rFonts w:ascii="MS Mincho" w:hAnsi="MS Mincho" w:eastAsia="MS Mincho" w:cs="MS Mincho"/>
          <w:color w:val="000000" w:themeColor="text1"/>
          <w:sz w:val="24"/>
          <w:szCs w:val="24"/>
        </w:rPr>
        <w:t>无</w:t>
      </w:r>
    </w:p>
    <w:p>
      <w:pPr>
        <w:spacing w:line="360" w:lineRule="auto"/>
        <w:ind w:firstLine="420" w:firstLineChars="200"/>
        <w:rPr>
          <w:rFonts w:ascii="宋体" w:hAnsi="宋体" w:eastAsia="宋体"/>
          <w:b/>
          <w:color w:val="000000" w:themeColor="text1"/>
        </w:rPr>
      </w:pPr>
      <w:r>
        <w:rPr>
          <w:rFonts w:ascii="MS Mincho" w:hAnsi="MS Mincho" w:eastAsia="MS Mincho" w:cs="MS Mincho"/>
          <w:b/>
          <w:color w:val="000000" w:themeColor="text1"/>
        </w:rPr>
        <w:t>参考</w:t>
      </w:r>
      <w:r>
        <w:rPr>
          <w:rFonts w:hint="eastAsia" w:ascii="宋体" w:hAnsi="宋体" w:eastAsia="宋体"/>
          <w:b/>
          <w:color w:val="000000" w:themeColor="text1"/>
        </w:rPr>
        <w:t>资</w:t>
      </w:r>
      <w:r>
        <w:rPr>
          <w:rFonts w:ascii="宋体" w:hAnsi="宋体" w:eastAsia="宋体" w:cs="MS Mincho"/>
          <w:b/>
          <w:color w:val="000000" w:themeColor="text1"/>
        </w:rPr>
        <w:t>料：</w:t>
      </w:r>
    </w:p>
    <w:p>
      <w:pPr>
        <w:spacing w:line="360" w:lineRule="auto"/>
        <w:ind w:left="480"/>
        <w:jc w:val="left"/>
        <w:rPr>
          <w:rFonts w:ascii="宋体" w:hAnsi="宋体" w:eastAsia="宋体"/>
          <w:color w:val="000000" w:themeColor="text1"/>
        </w:rPr>
      </w:pPr>
      <w:r>
        <w:rPr>
          <w:rFonts w:hint="eastAsia" w:ascii="宋体" w:hAnsi="宋体" w:eastAsia="宋体"/>
          <w:color w:val="000000" w:themeColor="text1"/>
        </w:rPr>
        <w:t>1.</w:t>
      </w:r>
      <w:r>
        <w:rPr>
          <w:rFonts w:hint="eastAsia" w:ascii="宋体" w:hAnsi="宋体" w:eastAsia="宋体" w:cs="MS Mincho"/>
          <w:color w:val="000000" w:themeColor="text1"/>
        </w:rPr>
        <w:t xml:space="preserve"> </w:t>
      </w:r>
      <w:r>
        <w:rPr>
          <w:rFonts w:ascii="宋体" w:hAnsi="宋体" w:eastAsia="宋体" w:cs="MS Mincho"/>
          <w:color w:val="000000" w:themeColor="text1"/>
        </w:rPr>
        <w:t>黄伯荣、廖序</w:t>
      </w:r>
      <w:r>
        <w:rPr>
          <w:rFonts w:hint="eastAsia" w:ascii="宋体" w:hAnsi="宋体" w:eastAsia="宋体" w:cs="宋体"/>
          <w:color w:val="000000" w:themeColor="text1"/>
        </w:rPr>
        <w:t>东，</w:t>
      </w:r>
      <w:r>
        <w:rPr>
          <w:rFonts w:hint="eastAsia" w:ascii="宋体" w:hAnsi="宋体" w:eastAsia="宋体" w:cs="MS Gothic"/>
          <w:color w:val="000000" w:themeColor="text1"/>
        </w:rPr>
        <w:t>《</w:t>
      </w:r>
      <w:r>
        <w:rPr>
          <w:rFonts w:hint="eastAsia" w:ascii="宋体" w:hAnsi="宋体" w:eastAsia="宋体" w:cs="宋体"/>
          <w:color w:val="000000" w:themeColor="text1"/>
        </w:rPr>
        <w:t>现</w:t>
      </w:r>
      <w:r>
        <w:rPr>
          <w:rFonts w:hint="eastAsia" w:ascii="宋体" w:hAnsi="宋体" w:eastAsia="宋体" w:cs="MS Gothic"/>
          <w:color w:val="000000" w:themeColor="text1"/>
        </w:rPr>
        <w:t>代</w:t>
      </w:r>
      <w:r>
        <w:rPr>
          <w:rFonts w:hint="eastAsia" w:ascii="宋体" w:hAnsi="宋体" w:eastAsia="宋体" w:cs="宋体"/>
          <w:color w:val="000000" w:themeColor="text1"/>
        </w:rPr>
        <w:t>汉语</w:t>
      </w:r>
      <w:r>
        <w:rPr>
          <w:rFonts w:hint="eastAsia" w:ascii="宋体" w:hAnsi="宋体" w:eastAsia="宋体" w:cs="MS Gothic"/>
          <w:color w:val="000000" w:themeColor="text1"/>
        </w:rPr>
        <w:t>》，（高等教育出版社</w:t>
      </w:r>
      <w:r>
        <w:rPr>
          <w:rFonts w:hint="eastAsia" w:ascii="宋体" w:hAnsi="宋体" w:eastAsia="宋体" w:cs="MS Mincho"/>
          <w:color w:val="000000" w:themeColor="text1"/>
        </w:rPr>
        <w:t>2017</w:t>
      </w:r>
      <w:r>
        <w:rPr>
          <w:rFonts w:ascii="宋体" w:hAnsi="宋体" w:eastAsia="宋体" w:cs="MS Mincho"/>
          <w:color w:val="000000" w:themeColor="text1"/>
        </w:rPr>
        <w:t>年</w:t>
      </w:r>
      <w:r>
        <w:rPr>
          <w:rFonts w:hint="eastAsia" w:ascii="宋体" w:hAnsi="宋体" w:eastAsia="宋体" w:cs="MS Mincho"/>
          <w:color w:val="000000" w:themeColor="text1"/>
        </w:rPr>
        <w:t>6月第6</w:t>
      </w:r>
      <w:r>
        <w:rPr>
          <w:rFonts w:ascii="宋体" w:hAnsi="宋体" w:eastAsia="宋体" w:cs="MS Mincho"/>
          <w:color w:val="000000" w:themeColor="text1"/>
        </w:rPr>
        <w:t>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olor w:val="000000" w:themeColor="text1"/>
        </w:rPr>
        <w:t>2．</w:t>
      </w:r>
      <w:r>
        <w:rPr>
          <w:rFonts w:ascii="宋体" w:hAnsi="宋体" w:eastAsia="宋体" w:cs="MS Mincho"/>
          <w:color w:val="000000" w:themeColor="text1"/>
        </w:rPr>
        <w:t>王力</w:t>
      </w:r>
      <w:r>
        <w:rPr>
          <w:rFonts w:hint="eastAsia" w:ascii="宋体" w:hAnsi="宋体" w:eastAsia="宋体" w:cs="MS Mincho"/>
          <w:color w:val="000000" w:themeColor="text1"/>
        </w:rPr>
        <w:t>，</w:t>
      </w:r>
      <w:r>
        <w:rPr>
          <w:rFonts w:ascii="宋体" w:hAnsi="宋体" w:eastAsia="宋体" w:cs="MS Mincho"/>
          <w:color w:val="000000" w:themeColor="text1"/>
        </w:rPr>
        <w:t>《中国</w:t>
      </w:r>
      <w:r>
        <w:rPr>
          <w:rFonts w:hint="eastAsia" w:ascii="宋体" w:hAnsi="宋体" w:eastAsia="宋体" w:cs="宋体"/>
          <w:color w:val="000000" w:themeColor="text1"/>
        </w:rPr>
        <w:t>现</w:t>
      </w:r>
      <w:r>
        <w:rPr>
          <w:rFonts w:hint="eastAsia" w:ascii="宋体" w:hAnsi="宋体" w:eastAsia="宋体" w:cs="MS Gothic"/>
          <w:color w:val="000000" w:themeColor="text1"/>
        </w:rPr>
        <w:t>代</w:t>
      </w:r>
      <w:r>
        <w:rPr>
          <w:rFonts w:hint="eastAsia" w:ascii="宋体" w:hAnsi="宋体" w:eastAsia="宋体" w:cs="宋体"/>
          <w:color w:val="000000" w:themeColor="text1"/>
        </w:rPr>
        <w:t>语</w:t>
      </w:r>
      <w:r>
        <w:rPr>
          <w:rFonts w:hint="eastAsia" w:ascii="宋体" w:hAnsi="宋体" w:eastAsia="宋体" w:cs="MS Gothic"/>
          <w:color w:val="000000" w:themeColor="text1"/>
        </w:rPr>
        <w:t>法》，（商</w:t>
      </w:r>
      <w:r>
        <w:rPr>
          <w:rFonts w:hint="eastAsia" w:ascii="宋体" w:hAnsi="宋体" w:eastAsia="宋体" w:cs="宋体"/>
          <w:color w:val="000000" w:themeColor="text1"/>
        </w:rPr>
        <w:t>务</w:t>
      </w:r>
      <w:r>
        <w:rPr>
          <w:rFonts w:hint="eastAsia" w:ascii="宋体" w:hAnsi="宋体" w:eastAsia="宋体" w:cs="MS Gothic"/>
          <w:color w:val="000000" w:themeColor="text1"/>
        </w:rPr>
        <w:t>印</w:t>
      </w:r>
      <w:r>
        <w:rPr>
          <w:rFonts w:hint="eastAsia" w:ascii="宋体" w:hAnsi="宋体" w:eastAsia="宋体" w:cs="宋体"/>
          <w:color w:val="000000" w:themeColor="text1"/>
        </w:rPr>
        <w:t>书馆</w:t>
      </w:r>
      <w:r>
        <w:rPr>
          <w:rFonts w:ascii="宋体" w:hAnsi="宋体" w:eastAsia="宋体" w:cs="MS Mincho"/>
          <w:color w:val="000000" w:themeColor="text1"/>
        </w:rPr>
        <w:t>1998年版）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s="MS Mincho"/>
          <w:color w:val="000000" w:themeColor="text1"/>
        </w:rPr>
        <w:t>3.</w:t>
      </w:r>
      <w:r>
        <w:rPr>
          <w:rFonts w:hint="eastAsia" w:ascii="宋体" w:hAnsi="宋体" w:eastAsia="宋体" w:cs="宋体"/>
          <w:color w:val="000000" w:themeColor="text1"/>
        </w:rPr>
        <w:t>吕</w:t>
      </w:r>
      <w:r>
        <w:rPr>
          <w:rFonts w:hint="eastAsia" w:ascii="宋体" w:hAnsi="宋体" w:eastAsia="宋体" w:cs="MS Gothic"/>
          <w:color w:val="000000" w:themeColor="text1"/>
        </w:rPr>
        <w:t>叔湘，《中国文法要略》，（商</w:t>
      </w:r>
      <w:r>
        <w:rPr>
          <w:rFonts w:hint="eastAsia" w:ascii="宋体" w:hAnsi="宋体" w:eastAsia="宋体" w:cs="宋体"/>
          <w:color w:val="000000" w:themeColor="text1"/>
        </w:rPr>
        <w:t>务</w:t>
      </w:r>
      <w:r>
        <w:rPr>
          <w:rFonts w:hint="eastAsia" w:ascii="宋体" w:hAnsi="宋体" w:eastAsia="宋体" w:cs="MS Gothic"/>
          <w:color w:val="000000" w:themeColor="text1"/>
        </w:rPr>
        <w:t>印</w:t>
      </w:r>
      <w:r>
        <w:rPr>
          <w:rFonts w:hint="eastAsia" w:ascii="宋体" w:hAnsi="宋体" w:eastAsia="宋体" w:cs="宋体"/>
          <w:color w:val="000000" w:themeColor="text1"/>
        </w:rPr>
        <w:t>书馆</w:t>
      </w:r>
      <w:r>
        <w:rPr>
          <w:rFonts w:ascii="宋体" w:hAnsi="宋体" w:eastAsia="宋体" w:cs="MS Mincho"/>
          <w:color w:val="000000" w:themeColor="text1"/>
        </w:rPr>
        <w:t>1998年版）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s="MS Mincho"/>
          <w:color w:val="000000" w:themeColor="text1"/>
        </w:rPr>
        <w:t>4.</w:t>
      </w:r>
      <w:r>
        <w:rPr>
          <w:rFonts w:hint="eastAsia" w:ascii="宋体" w:hAnsi="宋体" w:eastAsia="宋体" w:cs="宋体"/>
          <w:color w:val="000000" w:themeColor="text1"/>
        </w:rPr>
        <w:t>吕</w:t>
      </w:r>
      <w:r>
        <w:rPr>
          <w:rFonts w:hint="eastAsia" w:ascii="宋体" w:hAnsi="宋体" w:eastAsia="宋体" w:cs="MS Gothic"/>
          <w:color w:val="000000" w:themeColor="text1"/>
        </w:rPr>
        <w:t>叔湘，《</w:t>
      </w:r>
      <w:r>
        <w:rPr>
          <w:rFonts w:hint="eastAsia" w:ascii="宋体" w:hAnsi="宋体" w:eastAsia="宋体" w:cs="宋体"/>
          <w:color w:val="000000" w:themeColor="text1"/>
        </w:rPr>
        <w:t>汉语语</w:t>
      </w:r>
      <w:r>
        <w:rPr>
          <w:rFonts w:hint="eastAsia" w:ascii="宋体" w:hAnsi="宋体" w:eastAsia="宋体" w:cs="MS Gothic"/>
          <w:color w:val="000000" w:themeColor="text1"/>
        </w:rPr>
        <w:t>法分析</w:t>
      </w:r>
      <w:r>
        <w:rPr>
          <w:rFonts w:hint="eastAsia" w:ascii="宋体" w:hAnsi="宋体" w:eastAsia="宋体" w:cs="宋体"/>
          <w:color w:val="000000" w:themeColor="text1"/>
        </w:rPr>
        <w:t>问题</w:t>
      </w:r>
      <w:r>
        <w:rPr>
          <w:rFonts w:hint="eastAsia" w:ascii="宋体" w:hAnsi="宋体" w:eastAsia="宋体" w:cs="MS Gothic"/>
          <w:color w:val="000000" w:themeColor="text1"/>
        </w:rPr>
        <w:t>》，（商</w:t>
      </w:r>
      <w:r>
        <w:rPr>
          <w:rFonts w:hint="eastAsia" w:ascii="宋体" w:hAnsi="宋体" w:eastAsia="宋体" w:cs="宋体"/>
          <w:color w:val="000000" w:themeColor="text1"/>
        </w:rPr>
        <w:t>务</w:t>
      </w:r>
      <w:r>
        <w:rPr>
          <w:rFonts w:hint="eastAsia" w:ascii="宋体" w:hAnsi="宋体" w:eastAsia="宋体" w:cs="MS Gothic"/>
          <w:color w:val="000000" w:themeColor="text1"/>
        </w:rPr>
        <w:t>印</w:t>
      </w:r>
      <w:r>
        <w:rPr>
          <w:rFonts w:hint="eastAsia" w:ascii="宋体" w:hAnsi="宋体" w:eastAsia="宋体" w:cs="宋体"/>
          <w:color w:val="000000" w:themeColor="text1"/>
        </w:rPr>
        <w:t>书馆</w:t>
      </w:r>
      <w:r>
        <w:rPr>
          <w:rFonts w:ascii="宋体" w:hAnsi="宋体" w:eastAsia="宋体" w:cs="MS Mincho"/>
          <w:color w:val="000000" w:themeColor="text1"/>
        </w:rPr>
        <w:t>1998年版）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s="MS Mincho"/>
          <w:color w:val="000000" w:themeColor="text1"/>
        </w:rPr>
        <w:t>5.</w:t>
      </w:r>
      <w:r>
        <w:rPr>
          <w:rFonts w:ascii="宋体" w:hAnsi="宋体" w:eastAsia="宋体" w:cs="MS Mincho"/>
          <w:color w:val="000000" w:themeColor="text1"/>
        </w:rPr>
        <w:t>朱德熙</w:t>
      </w:r>
      <w:r>
        <w:rPr>
          <w:rFonts w:hint="eastAsia" w:ascii="宋体" w:hAnsi="宋体" w:eastAsia="宋体" w:cs="MS Mincho"/>
          <w:color w:val="000000" w:themeColor="text1"/>
        </w:rPr>
        <w:t>，</w:t>
      </w:r>
      <w:r>
        <w:rPr>
          <w:rFonts w:ascii="宋体" w:hAnsi="宋体" w:eastAsia="宋体" w:cs="MS Mincho"/>
          <w:color w:val="000000" w:themeColor="text1"/>
        </w:rPr>
        <w:t>《</w:t>
      </w:r>
      <w:r>
        <w:rPr>
          <w:rFonts w:hint="eastAsia" w:ascii="宋体" w:hAnsi="宋体" w:eastAsia="宋体" w:cs="宋体"/>
          <w:color w:val="000000" w:themeColor="text1"/>
        </w:rPr>
        <w:t>语</w:t>
      </w:r>
      <w:r>
        <w:rPr>
          <w:rFonts w:hint="eastAsia" w:ascii="宋体" w:hAnsi="宋体" w:eastAsia="宋体" w:cs="MS Gothic"/>
          <w:color w:val="000000" w:themeColor="text1"/>
        </w:rPr>
        <w:t>法</w:t>
      </w:r>
      <w:r>
        <w:rPr>
          <w:rFonts w:hint="eastAsia" w:ascii="宋体" w:hAnsi="宋体" w:eastAsia="宋体" w:cs="宋体"/>
          <w:color w:val="000000" w:themeColor="text1"/>
        </w:rPr>
        <w:t>讲义</w:t>
      </w:r>
      <w:r>
        <w:rPr>
          <w:rFonts w:hint="eastAsia" w:ascii="宋体" w:hAnsi="宋体" w:eastAsia="宋体" w:cs="MS Gothic"/>
          <w:color w:val="000000" w:themeColor="text1"/>
        </w:rPr>
        <w:t>》，（商</w:t>
      </w:r>
      <w:r>
        <w:rPr>
          <w:rFonts w:hint="eastAsia" w:ascii="宋体" w:hAnsi="宋体" w:eastAsia="宋体" w:cs="宋体"/>
          <w:color w:val="000000" w:themeColor="text1"/>
        </w:rPr>
        <w:t>务</w:t>
      </w:r>
      <w:r>
        <w:rPr>
          <w:rFonts w:hint="eastAsia" w:ascii="宋体" w:hAnsi="宋体" w:eastAsia="宋体" w:cs="MS Gothic"/>
          <w:color w:val="000000" w:themeColor="text1"/>
        </w:rPr>
        <w:t>印</w:t>
      </w:r>
      <w:r>
        <w:rPr>
          <w:rFonts w:hint="eastAsia" w:ascii="宋体" w:hAnsi="宋体" w:eastAsia="宋体" w:cs="宋体"/>
          <w:color w:val="000000" w:themeColor="text1"/>
        </w:rPr>
        <w:t>书馆</w:t>
      </w:r>
      <w:r>
        <w:rPr>
          <w:rFonts w:ascii="宋体" w:hAnsi="宋体" w:eastAsia="宋体" w:cs="MS Mincho"/>
          <w:color w:val="000000" w:themeColor="text1"/>
        </w:rPr>
        <w:t>1998年版）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s="MS Mincho"/>
          <w:color w:val="000000" w:themeColor="text1"/>
        </w:rPr>
        <w:t>6.董</w:t>
      </w:r>
      <w:r>
        <w:rPr>
          <w:rFonts w:ascii="宋体" w:hAnsi="宋体" w:eastAsia="宋体" w:cs="MS Mincho"/>
          <w:color w:val="000000" w:themeColor="text1"/>
        </w:rPr>
        <w:t xml:space="preserve"> 琨</w:t>
      </w:r>
      <w:r>
        <w:rPr>
          <w:rFonts w:hint="eastAsia" w:ascii="宋体" w:hAnsi="宋体" w:eastAsia="宋体" w:cs="MS Mincho"/>
          <w:color w:val="000000" w:themeColor="text1"/>
        </w:rPr>
        <w:t>，</w:t>
      </w:r>
      <w:r>
        <w:rPr>
          <w:rFonts w:ascii="宋体" w:hAnsi="宋体" w:eastAsia="宋体" w:cs="MS Mincho"/>
          <w:color w:val="000000" w:themeColor="text1"/>
        </w:rPr>
        <w:t>《中国汉字源流》（</w:t>
      </w:r>
      <w:r>
        <w:rPr>
          <w:rFonts w:hint="eastAsia" w:ascii="宋体" w:hAnsi="宋体" w:eastAsia="宋体" w:cs="MS Mincho"/>
          <w:color w:val="000000" w:themeColor="text1"/>
        </w:rPr>
        <w:t>，</w:t>
      </w:r>
      <w:r>
        <w:rPr>
          <w:rFonts w:ascii="宋体" w:hAnsi="宋体" w:eastAsia="宋体" w:cs="MS Mincho"/>
          <w:color w:val="000000" w:themeColor="text1"/>
        </w:rPr>
        <w:t>商务印书馆1999年版</w:t>
      </w:r>
      <w:r>
        <w:rPr>
          <w:rFonts w:hint="eastAsia" w:ascii="宋体" w:hAnsi="宋体" w:eastAsia="宋体" w:cs="MS Mincho"/>
          <w:color w:val="000000" w:themeColor="text1"/>
        </w:rPr>
        <w:t>）；</w:t>
      </w:r>
    </w:p>
    <w:p>
      <w:pPr>
        <w:spacing w:line="360" w:lineRule="auto"/>
        <w:ind w:left="480"/>
        <w:jc w:val="left"/>
        <w:rPr>
          <w:rFonts w:ascii="宋体" w:hAnsi="宋体" w:eastAsia="宋体" w:cs="MS Mincho"/>
          <w:color w:val="000000" w:themeColor="text1"/>
        </w:rPr>
      </w:pPr>
      <w:r>
        <w:rPr>
          <w:rFonts w:hint="eastAsia" w:ascii="宋体" w:hAnsi="宋体" w:eastAsia="宋体" w:cs="MS Mincho"/>
          <w:color w:val="000000" w:themeColor="text1"/>
        </w:rPr>
        <w:t>7.姜丽，《HSK标准教程 6》，（北京语言大学出版社2016年12月）。</w:t>
      </w: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spacing w:line="360" w:lineRule="auto"/>
        <w:rPr>
          <w:color w:val="000000" w:themeColor="text1"/>
        </w:rPr>
      </w:pPr>
    </w:p>
    <w:p>
      <w:pPr>
        <w:pStyle w:val="2"/>
        <w:spacing w:line="360" w:lineRule="auto"/>
        <w:rPr>
          <w:rFonts w:ascii="宋体" w:hAnsi="宋体" w:cs="宋体"/>
          <w:color w:val="000000" w:themeColor="text1"/>
          <w:kern w:val="0"/>
          <w:sz w:val="32"/>
          <w:szCs w:val="32"/>
        </w:rPr>
      </w:pPr>
      <w:r>
        <w:rPr>
          <w:rFonts w:ascii="宋体" w:hAnsi="宋体" w:cs="宋体"/>
          <w:color w:val="000000" w:themeColor="text1"/>
          <w:kern w:val="0"/>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ascii="宋体" w:hAnsi="宋体" w:cs="宋体"/>
          <w:color w:val="000000" w:themeColor="text1"/>
          <w:kern w:val="0"/>
          <w:sz w:val="32"/>
          <w:szCs w:val="32"/>
        </w:rPr>
        <w:t>汉语教材与教学资源</w:t>
      </w:r>
      <w:r>
        <w:rPr>
          <w:rFonts w:hint="eastAsia"/>
          <w:color w:val="000000" w:themeColor="text1"/>
          <w:sz w:val="32"/>
          <w:szCs w:val="32"/>
        </w:rPr>
        <w:t>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rFonts w:ascii="宋体" w:hAnsi="宋体"/>
          <w:color w:val="000000" w:themeColor="text1"/>
          <w:kern w:val="0"/>
          <w:sz w:val="21"/>
          <w:szCs w:val="21"/>
        </w:rPr>
        <w:t>汉语教材与教学资源</w:t>
      </w:r>
      <w:r>
        <w:rPr>
          <w:rFonts w:ascii="宋体" w:hAnsi="宋体"/>
          <w:color w:val="000000" w:themeColor="text1"/>
          <w:kern w:val="0"/>
          <w:sz w:val="18"/>
          <w:szCs w:val="18"/>
        </w:rPr>
        <w:t> </w:t>
      </w:r>
      <w:r>
        <w:rPr>
          <w:rFonts w:hint="eastAsia"/>
          <w:color w:val="000000" w:themeColor="text1"/>
          <w:sz w:val="21"/>
          <w:szCs w:val="21"/>
        </w:rPr>
        <w:t>/</w:t>
      </w:r>
      <w:r>
        <w:rPr>
          <w:color w:val="000000" w:themeColor="text1"/>
          <w:sz w:val="21"/>
          <w:szCs w:val="21"/>
        </w:rPr>
        <w:t xml:space="preserve"> </w:t>
      </w:r>
      <w:r>
        <w:rPr>
          <w:rFonts w:hint="eastAsia"/>
          <w:color w:val="000000" w:themeColor="text1"/>
          <w:sz w:val="21"/>
          <w:szCs w:val="21"/>
        </w:rPr>
        <w:t>Chinese teaching materials and teaching resources</w:t>
      </w:r>
    </w:p>
    <w:p>
      <w:pPr>
        <w:pStyle w:val="62"/>
        <w:spacing w:line="360" w:lineRule="auto"/>
        <w:ind w:firstLine="422"/>
        <w:rPr>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：1504532008</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w:t>
      </w:r>
      <w:r>
        <w:rPr>
          <w:rFonts w:hint="eastAsia" w:ascii="宋体" w:hAnsi="宋体"/>
          <w:color w:val="000000" w:themeColor="text1"/>
          <w:kern w:val="0"/>
          <w:sz w:val="21"/>
          <w:szCs w:val="21"/>
        </w:rPr>
        <w:t>学科学位课/扩展课程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w:t>
      </w:r>
      <w:r>
        <w:rPr>
          <w:rFonts w:hint="eastAsia"/>
          <w:color w:val="000000" w:themeColor="text1"/>
          <w:szCs w:val="21"/>
        </w:rPr>
        <w:t>汉语国际教育专业硕士</w:t>
      </w:r>
    </w:p>
    <w:p>
      <w:pPr>
        <w:pStyle w:val="63"/>
        <w:numPr>
          <w:ilvl w:val="0"/>
          <w:numId w:val="6"/>
        </w:numPr>
        <w:spacing w:line="360" w:lineRule="auto"/>
        <w:outlineLvl w:val="0"/>
        <w:rPr>
          <w:color w:val="000000" w:themeColor="text1"/>
          <w:szCs w:val="24"/>
        </w:rPr>
      </w:pPr>
      <w:r>
        <w:rPr>
          <w:rFonts w:hint="eastAsia"/>
          <w:color w:val="000000" w:themeColor="text1"/>
          <w:szCs w:val="24"/>
        </w:rPr>
        <w:t>课程的性质、目的和任务</w:t>
      </w:r>
    </w:p>
    <w:p>
      <w:pPr>
        <w:pStyle w:val="56"/>
        <w:spacing w:before="156"/>
        <w:rPr>
          <w:rFonts w:cs="宋体"/>
          <w:color w:val="000000" w:themeColor="text1"/>
          <w:szCs w:val="21"/>
        </w:rPr>
      </w:pPr>
      <w:r>
        <w:rPr>
          <w:rFonts w:hint="eastAsia" w:cs="宋体"/>
          <w:color w:val="000000" w:themeColor="text1"/>
          <w:szCs w:val="21"/>
        </w:rPr>
        <w:t>《</w:t>
      </w:r>
      <w:r>
        <w:rPr>
          <w:rFonts w:cs="宋体"/>
          <w:color w:val="000000" w:themeColor="text1"/>
          <w:kern w:val="0"/>
          <w:szCs w:val="21"/>
        </w:rPr>
        <w:t>汉语教材与教学资源</w:t>
      </w:r>
      <w:r>
        <w:rPr>
          <w:rFonts w:hint="eastAsia" w:cs="宋体"/>
          <w:color w:val="000000" w:themeColor="text1"/>
          <w:szCs w:val="21"/>
        </w:rPr>
        <w:t>》是</w:t>
      </w:r>
      <w:r>
        <w:rPr>
          <w:rFonts w:hint="eastAsia"/>
          <w:color w:val="000000" w:themeColor="text1"/>
        </w:rPr>
        <w:t>汉语国际教育硕士专业学位研究生学科学位</w:t>
      </w:r>
      <w:r>
        <w:rPr>
          <w:rFonts w:hint="eastAsia" w:cs="宋体"/>
          <w:color w:val="000000" w:themeColor="text1"/>
          <w:szCs w:val="21"/>
        </w:rPr>
        <w:t>课程之一。通过课堂教学，使学生</w:t>
      </w:r>
      <w:r>
        <w:rPr>
          <w:rFonts w:cs="宋体"/>
          <w:color w:val="000000" w:themeColor="text1"/>
          <w:szCs w:val="21"/>
        </w:rPr>
        <w:t>系统全面地</w:t>
      </w:r>
      <w:r>
        <w:rPr>
          <w:rFonts w:hint="eastAsia" w:cs="宋体"/>
          <w:color w:val="000000" w:themeColor="text1"/>
          <w:szCs w:val="21"/>
        </w:rPr>
        <w:t>掌握</w:t>
      </w:r>
      <w:r>
        <w:rPr>
          <w:rFonts w:cs="宋体"/>
          <w:color w:val="000000" w:themeColor="text1"/>
          <w:kern w:val="0"/>
          <w:szCs w:val="21"/>
        </w:rPr>
        <w:t>汉语教材与教学资源</w:t>
      </w:r>
      <w:r>
        <w:rPr>
          <w:rFonts w:cs="宋体"/>
          <w:color w:val="000000" w:themeColor="text1"/>
          <w:szCs w:val="21"/>
        </w:rPr>
        <w:t>方面的知识，全方位展示</w:t>
      </w:r>
      <w:r>
        <w:rPr>
          <w:rFonts w:hint="eastAsia"/>
          <w:color w:val="000000" w:themeColor="text1"/>
        </w:rPr>
        <w:t>汉语国际教育硕士专业学位研究生</w:t>
      </w:r>
      <w:r>
        <w:rPr>
          <w:rFonts w:cs="宋体"/>
          <w:color w:val="000000" w:themeColor="text1"/>
          <w:szCs w:val="21"/>
        </w:rPr>
        <w:t>所应了解的方面，主要包括</w:t>
      </w:r>
      <w:r>
        <w:rPr>
          <w:rFonts w:hint="eastAsia" w:cs="宋体"/>
          <w:color w:val="000000" w:themeColor="text1"/>
          <w:szCs w:val="21"/>
        </w:rPr>
        <w:t>中国汉语国际教育教材、外国汉语国际教育教材、网络汉语教学资源</w:t>
      </w:r>
      <w:r>
        <w:rPr>
          <w:rFonts w:cs="宋体"/>
          <w:color w:val="000000" w:themeColor="text1"/>
          <w:szCs w:val="21"/>
        </w:rPr>
        <w:t>等专题，总体分为“</w:t>
      </w:r>
      <w:r>
        <w:rPr>
          <w:rFonts w:hint="eastAsia" w:cs="宋体"/>
          <w:color w:val="000000" w:themeColor="text1"/>
          <w:szCs w:val="21"/>
        </w:rPr>
        <w:t>基本问题</w:t>
      </w:r>
      <w:r>
        <w:rPr>
          <w:rFonts w:cs="宋体"/>
          <w:color w:val="000000" w:themeColor="text1"/>
          <w:szCs w:val="21"/>
        </w:rPr>
        <w:t>”、“</w:t>
      </w:r>
      <w:r>
        <w:rPr>
          <w:rFonts w:hint="eastAsia" w:cs="宋体"/>
          <w:color w:val="000000" w:themeColor="text1"/>
          <w:szCs w:val="21"/>
        </w:rPr>
        <w:t>基本理论</w:t>
      </w:r>
      <w:r>
        <w:rPr>
          <w:rFonts w:cs="宋体"/>
          <w:color w:val="000000" w:themeColor="text1"/>
          <w:szCs w:val="21"/>
        </w:rPr>
        <w:t>”、“</w:t>
      </w:r>
      <w:r>
        <w:rPr>
          <w:rFonts w:hint="eastAsia" w:cs="宋体"/>
          <w:color w:val="000000" w:themeColor="text1"/>
          <w:szCs w:val="21"/>
        </w:rPr>
        <w:t>基本原理</w:t>
      </w:r>
      <w:r>
        <w:rPr>
          <w:rFonts w:cs="宋体"/>
          <w:color w:val="000000" w:themeColor="text1"/>
          <w:szCs w:val="21"/>
        </w:rPr>
        <w:t>”</w:t>
      </w:r>
      <w:r>
        <w:rPr>
          <w:rFonts w:hint="eastAsia" w:cs="宋体"/>
          <w:color w:val="000000" w:themeColor="text1"/>
          <w:szCs w:val="21"/>
        </w:rPr>
        <w:t>等</w:t>
      </w:r>
      <w:r>
        <w:rPr>
          <w:rFonts w:cs="宋体"/>
          <w:color w:val="000000" w:themeColor="text1"/>
          <w:szCs w:val="21"/>
        </w:rPr>
        <w:t>部分</w:t>
      </w:r>
      <w:r>
        <w:rPr>
          <w:rFonts w:hint="eastAsia" w:cs="宋体"/>
          <w:color w:val="000000" w:themeColor="text1"/>
          <w:szCs w:val="21"/>
        </w:rPr>
        <w:t>。此外，还讨论汉语教材编写理论与实践的其他相关问题：教材语言标准、教材的语体呈现、教材文化内容的取向和选择等方面</w:t>
      </w:r>
      <w:r>
        <w:rPr>
          <w:rFonts w:cs="宋体"/>
          <w:color w:val="000000" w:themeColor="text1"/>
          <w:szCs w:val="21"/>
        </w:rPr>
        <w:t>。使学生对</w:t>
      </w:r>
      <w:r>
        <w:rPr>
          <w:rFonts w:cs="宋体"/>
          <w:color w:val="000000" w:themeColor="text1"/>
          <w:kern w:val="0"/>
          <w:szCs w:val="21"/>
        </w:rPr>
        <w:t>汉语教材与教学资源</w:t>
      </w:r>
      <w:r>
        <w:rPr>
          <w:rFonts w:hint="eastAsia" w:cs="宋体"/>
          <w:color w:val="000000" w:themeColor="text1"/>
          <w:kern w:val="0"/>
          <w:szCs w:val="21"/>
        </w:rPr>
        <w:t>有清晰</w:t>
      </w:r>
      <w:r>
        <w:rPr>
          <w:rFonts w:cs="宋体"/>
          <w:color w:val="000000" w:themeColor="text1"/>
          <w:szCs w:val="21"/>
        </w:rPr>
        <w:t>的了解，以便胜任</w:t>
      </w:r>
      <w:r>
        <w:rPr>
          <w:rFonts w:hint="eastAsia"/>
          <w:color w:val="000000" w:themeColor="text1"/>
        </w:rPr>
        <w:t>在各级各类学校、教学机构从事汉语教学，也能在政府部门、公司或企业等机构从事与汉语或中华文化相关的工作</w:t>
      </w:r>
      <w:r>
        <w:rPr>
          <w:rFonts w:cs="宋体"/>
          <w:color w:val="000000" w:themeColor="text1"/>
          <w:szCs w:val="21"/>
        </w:rPr>
        <w:t>打下基础</w:t>
      </w:r>
      <w:r>
        <w:rPr>
          <w:rFonts w:hint="eastAsia" w:cs="宋体"/>
          <w:color w:val="000000" w:themeColor="text1"/>
          <w:szCs w:val="21"/>
        </w:rPr>
        <w:t>。</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5"/>
        <w:spacing w:line="360" w:lineRule="auto"/>
        <w:rPr>
          <w:color w:val="000000" w:themeColor="text1"/>
          <w:szCs w:val="21"/>
        </w:rPr>
      </w:pPr>
      <w:r>
        <w:rPr>
          <w:rFonts w:hint="eastAsia"/>
          <w:color w:val="000000" w:themeColor="text1"/>
          <w:szCs w:val="21"/>
        </w:rPr>
        <w:t>1．培养学生对汉语教材等基本知识的了解。</w:t>
      </w:r>
    </w:p>
    <w:p>
      <w:pPr>
        <w:pStyle w:val="65"/>
        <w:spacing w:line="360" w:lineRule="auto"/>
        <w:rPr>
          <w:color w:val="000000" w:themeColor="text1"/>
          <w:szCs w:val="21"/>
        </w:rPr>
      </w:pPr>
      <w:r>
        <w:rPr>
          <w:color w:val="000000" w:themeColor="text1"/>
          <w:szCs w:val="21"/>
        </w:rPr>
        <w:t>2</w:t>
      </w:r>
      <w:r>
        <w:rPr>
          <w:rFonts w:hint="eastAsia"/>
          <w:color w:val="000000" w:themeColor="text1"/>
          <w:szCs w:val="21"/>
        </w:rPr>
        <w:t>．培养学生能够运用所掌握的知识顺利从事汉语教学。</w:t>
      </w:r>
    </w:p>
    <w:p>
      <w:pPr>
        <w:pStyle w:val="65"/>
        <w:spacing w:line="360" w:lineRule="auto"/>
        <w:rPr>
          <w:color w:val="000000" w:themeColor="text1"/>
          <w:szCs w:val="21"/>
        </w:rPr>
      </w:pPr>
      <w:r>
        <w:rPr>
          <w:color w:val="000000" w:themeColor="text1"/>
          <w:szCs w:val="21"/>
        </w:rPr>
        <w:t>3</w:t>
      </w:r>
      <w:r>
        <w:rPr>
          <w:rFonts w:hint="eastAsia"/>
          <w:color w:val="000000" w:themeColor="text1"/>
          <w:szCs w:val="21"/>
        </w:rPr>
        <w:t>．熟练掌握教学资源，能运用教学资源更好得进行汉语教学。</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课程介绍   </w:t>
            </w:r>
            <w:r>
              <w:rPr>
                <w:rFonts w:cs="宋体"/>
                <w:color w:val="000000" w:themeColor="text1"/>
                <w:szCs w:val="21"/>
              </w:rPr>
              <w:t xml:space="preserve">第一章 </w:t>
            </w:r>
            <w:r>
              <w:rPr>
                <w:rFonts w:hint="eastAsia" w:cs="宋体"/>
                <w:color w:val="000000" w:themeColor="text1"/>
                <w:szCs w:val="21"/>
              </w:rPr>
              <w:t>教材含义</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第二章 </w:t>
            </w:r>
            <w:r>
              <w:rPr>
                <w:rFonts w:hint="eastAsia" w:cs="宋体"/>
                <w:color w:val="000000" w:themeColor="text1"/>
                <w:szCs w:val="21"/>
              </w:rPr>
              <w:t>教材属性</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第三章 </w:t>
            </w:r>
            <w:r>
              <w:rPr>
                <w:rFonts w:hint="eastAsia" w:cs="宋体"/>
                <w:color w:val="000000" w:themeColor="text1"/>
                <w:szCs w:val="21"/>
              </w:rPr>
              <w:t>教材功能</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第四章 </w:t>
            </w:r>
            <w:r>
              <w:rPr>
                <w:rFonts w:hint="eastAsia" w:cs="宋体"/>
                <w:color w:val="000000" w:themeColor="text1"/>
                <w:szCs w:val="21"/>
              </w:rPr>
              <w:t>教材分类</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第五章 </w:t>
            </w:r>
            <w:r>
              <w:rPr>
                <w:rFonts w:hint="eastAsia" w:cs="宋体"/>
                <w:color w:val="000000" w:themeColor="text1"/>
                <w:szCs w:val="21"/>
              </w:rPr>
              <w:t>教材与教学理论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第六章 </w:t>
            </w:r>
            <w:r>
              <w:rPr>
                <w:rFonts w:hint="eastAsia" w:cs="宋体"/>
                <w:color w:val="000000" w:themeColor="text1"/>
                <w:szCs w:val="21"/>
              </w:rPr>
              <w:t>教材与教学大纲</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第七章 </w:t>
            </w:r>
            <w:r>
              <w:rPr>
                <w:rFonts w:hint="eastAsia" w:cs="宋体"/>
                <w:color w:val="000000" w:themeColor="text1"/>
                <w:szCs w:val="21"/>
              </w:rPr>
              <w:t>国际汉语教学通用课程大纲</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第八章 </w:t>
            </w:r>
            <w:r>
              <w:rPr>
                <w:rFonts w:hint="eastAsia" w:cs="宋体"/>
                <w:color w:val="000000" w:themeColor="text1"/>
                <w:szCs w:val="21"/>
              </w:rPr>
              <w:t>教材编写相关问题探讨</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9</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 xml:space="preserve">第九章  </w:t>
            </w:r>
            <w:r>
              <w:rPr>
                <w:rFonts w:hint="eastAsia" w:cs="宋体"/>
                <w:color w:val="000000" w:themeColor="text1"/>
                <w:szCs w:val="21"/>
              </w:rPr>
              <w:t>汉语教学与教材编写</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10</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第十章 </w:t>
            </w:r>
            <w:r>
              <w:rPr>
                <w:rFonts w:cs="宋体"/>
                <w:color w:val="000000" w:themeColor="text1"/>
                <w:szCs w:val="21"/>
              </w:rPr>
              <w:t xml:space="preserve"> </w:t>
            </w:r>
            <w:r>
              <w:rPr>
                <w:rFonts w:hint="eastAsia" w:cs="宋体"/>
                <w:color w:val="000000" w:themeColor="text1"/>
                <w:szCs w:val="21"/>
              </w:rPr>
              <w:t>国内汉语国际教育教材发展介绍</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第十一章 国外汉语国际教育教材发展介绍</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 xml:space="preserve">12 </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第十二章 教材编写的基本原则</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第十三章 教材编写的基本程序</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第十四章 第二语言教材评估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第十五章 汉语教学资源发展介绍</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总评成绩构成：平时考核（4</w:t>
      </w:r>
      <w:r>
        <w:rPr>
          <w:color w:val="000000" w:themeColor="text1"/>
        </w:rPr>
        <w:t>0</w:t>
      </w:r>
      <w:r>
        <w:rPr>
          <w:rFonts w:hint="eastAsia"/>
          <w:color w:val="000000" w:themeColor="text1"/>
        </w:rPr>
        <w:t>）％；月度考核（）％；期末考核（6</w:t>
      </w:r>
      <w:r>
        <w:rPr>
          <w:color w:val="000000" w:themeColor="text1"/>
        </w:rPr>
        <w:t>0</w:t>
      </w:r>
      <w:r>
        <w:rPr>
          <w:rFonts w:hint="eastAsia"/>
          <w:color w:val="000000" w:themeColor="text1"/>
        </w:rPr>
        <w:t>）％</w:t>
      </w:r>
    </w:p>
    <w:p>
      <w:pPr>
        <w:pStyle w:val="65"/>
        <w:spacing w:line="360" w:lineRule="auto"/>
        <w:rPr>
          <w:color w:val="000000" w:themeColor="text1"/>
        </w:rPr>
      </w:pPr>
      <w:r>
        <w:rPr>
          <w:rFonts w:hint="eastAsia"/>
          <w:color w:val="000000" w:themeColor="text1"/>
        </w:rPr>
        <w:t>平时成绩构成：考勤考纪（</w:t>
      </w:r>
      <w:r>
        <w:rPr>
          <w:color w:val="000000" w:themeColor="text1"/>
        </w:rPr>
        <w:t>10</w:t>
      </w:r>
      <w:r>
        <w:rPr>
          <w:rFonts w:hint="eastAsia"/>
          <w:color w:val="000000" w:themeColor="text1"/>
        </w:rPr>
        <w:t>）％；作业和学习态度（3</w:t>
      </w:r>
      <w:r>
        <w:rPr>
          <w:color w:val="000000" w:themeColor="text1"/>
        </w:rPr>
        <w:t>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525" w:firstLineChars="250"/>
        <w:rPr>
          <w:color w:val="000000" w:themeColor="text1"/>
          <w:szCs w:val="21"/>
        </w:rPr>
      </w:pPr>
      <w:r>
        <w:rPr>
          <w:color w:val="000000" w:themeColor="text1"/>
        </w:rPr>
        <w:t>《</w:t>
      </w:r>
      <w:r>
        <w:rPr>
          <w:rFonts w:hint="eastAsia"/>
          <w:color w:val="000000" w:themeColor="text1"/>
        </w:rPr>
        <w:t>对外汉语教材通论</w:t>
      </w:r>
      <w:r>
        <w:rPr>
          <w:color w:val="000000" w:themeColor="text1"/>
        </w:rPr>
        <w:t>》，</w:t>
      </w:r>
      <w:r>
        <w:rPr>
          <w:rFonts w:hint="eastAsia"/>
          <w:color w:val="000000" w:themeColor="text1"/>
        </w:rPr>
        <w:t>李泉</w:t>
      </w:r>
      <w:r>
        <w:rPr>
          <w:color w:val="000000" w:themeColor="text1"/>
        </w:rPr>
        <w:t>，</w:t>
      </w:r>
      <w:r>
        <w:rPr>
          <w:rFonts w:hint="eastAsia"/>
          <w:color w:val="000000" w:themeColor="text1"/>
        </w:rPr>
        <w:t>商务印书馆</w:t>
      </w:r>
      <w:r>
        <w:rPr>
          <w:color w:val="000000" w:themeColor="text1"/>
        </w:rPr>
        <w:t>，20</w:t>
      </w:r>
      <w:r>
        <w:rPr>
          <w:rFonts w:hint="eastAsia"/>
          <w:color w:val="000000" w:themeColor="text1"/>
        </w:rPr>
        <w:t>12</w:t>
      </w:r>
      <w:r>
        <w:rPr>
          <w:color w:val="000000" w:themeColor="text1"/>
        </w:rPr>
        <w:t>年版</w:t>
      </w:r>
    </w:p>
    <w:p>
      <w:pPr>
        <w:pStyle w:val="66"/>
        <w:spacing w:line="360" w:lineRule="auto"/>
        <w:rPr>
          <w:color w:val="000000" w:themeColor="text1"/>
        </w:rPr>
      </w:pPr>
      <w:r>
        <w:rPr>
          <w:rFonts w:hint="eastAsia"/>
          <w:color w:val="000000" w:themeColor="text1"/>
        </w:rPr>
        <w:t>参考资料：</w:t>
      </w:r>
    </w:p>
    <w:p>
      <w:pPr>
        <w:spacing w:line="360" w:lineRule="auto"/>
        <w:ind w:firstLine="525" w:firstLineChars="250"/>
        <w:outlineLvl w:val="0"/>
        <w:rPr>
          <w:color w:val="000000" w:themeColor="text1"/>
          <w:szCs w:val="21"/>
        </w:rPr>
      </w:pPr>
      <w:r>
        <w:rPr>
          <w:color w:val="000000" w:themeColor="text1"/>
        </w:rPr>
        <w:t>1．《</w:t>
      </w:r>
      <w:r>
        <w:rPr>
          <w:rFonts w:hint="eastAsia"/>
          <w:color w:val="000000" w:themeColor="text1"/>
        </w:rPr>
        <w:t>对外汉语教材研究</w:t>
      </w:r>
      <w:r>
        <w:rPr>
          <w:color w:val="000000" w:themeColor="text1"/>
        </w:rPr>
        <w:t>》，</w:t>
      </w:r>
      <w:r>
        <w:rPr>
          <w:rFonts w:hint="eastAsia"/>
          <w:color w:val="000000" w:themeColor="text1"/>
        </w:rPr>
        <w:t>李泉主</w:t>
      </w:r>
      <w:r>
        <w:rPr>
          <w:color w:val="000000" w:themeColor="text1"/>
        </w:rPr>
        <w:t>编，</w:t>
      </w:r>
      <w:r>
        <w:rPr>
          <w:rFonts w:hint="eastAsia"/>
          <w:color w:val="000000" w:themeColor="text1"/>
        </w:rPr>
        <w:t>商务印书馆</w:t>
      </w:r>
      <w:r>
        <w:rPr>
          <w:color w:val="000000" w:themeColor="text1"/>
        </w:rPr>
        <w:t>，20</w:t>
      </w:r>
      <w:r>
        <w:rPr>
          <w:rFonts w:hint="eastAsia"/>
          <w:color w:val="000000" w:themeColor="text1"/>
        </w:rPr>
        <w:t>11</w:t>
      </w:r>
      <w:r>
        <w:rPr>
          <w:color w:val="000000" w:themeColor="text1"/>
        </w:rPr>
        <w:t>年版</w:t>
      </w:r>
    </w:p>
    <w:p>
      <w:pPr>
        <w:spacing w:line="360" w:lineRule="auto"/>
        <w:ind w:firstLine="525" w:firstLineChars="250"/>
        <w:rPr>
          <w:color w:val="000000" w:themeColor="text1"/>
          <w:szCs w:val="21"/>
        </w:rPr>
      </w:pPr>
      <w:r>
        <w:rPr>
          <w:color w:val="000000" w:themeColor="text1"/>
        </w:rPr>
        <w:t>2</w:t>
      </w:r>
      <w:r>
        <w:rPr>
          <w:rFonts w:hint="eastAsia"/>
          <w:color w:val="000000" w:themeColor="text1"/>
        </w:rPr>
        <w:t>．</w:t>
      </w:r>
      <w:r>
        <w:rPr>
          <w:color w:val="000000" w:themeColor="text1"/>
        </w:rPr>
        <w:t>《</w:t>
      </w:r>
      <w:r>
        <w:rPr>
          <w:rFonts w:hint="eastAsia"/>
          <w:color w:val="000000" w:themeColor="text1"/>
        </w:rPr>
        <w:t>对外汉语教学入门</w:t>
      </w:r>
      <w:r>
        <w:rPr>
          <w:color w:val="000000" w:themeColor="text1"/>
        </w:rPr>
        <w:t>》，</w:t>
      </w:r>
      <w:r>
        <w:rPr>
          <w:rFonts w:hint="eastAsia"/>
          <w:color w:val="000000" w:themeColor="text1"/>
        </w:rPr>
        <w:t>周小兵主编，中山大学</w:t>
      </w:r>
      <w:r>
        <w:rPr>
          <w:color w:val="000000" w:themeColor="text1"/>
        </w:rPr>
        <w:t>出版社，</w:t>
      </w:r>
      <w:r>
        <w:rPr>
          <w:rFonts w:hint="eastAsia"/>
          <w:color w:val="000000" w:themeColor="text1"/>
        </w:rPr>
        <w:t>2013</w:t>
      </w:r>
      <w:r>
        <w:rPr>
          <w:color w:val="000000" w:themeColor="text1"/>
        </w:rPr>
        <w:t>年版</w:t>
      </w:r>
    </w:p>
    <w:p>
      <w:pPr>
        <w:spacing w:line="360" w:lineRule="auto"/>
        <w:ind w:firstLine="525" w:firstLineChars="250"/>
        <w:outlineLvl w:val="0"/>
        <w:rPr>
          <w:color w:val="000000" w:themeColor="text1"/>
        </w:rPr>
      </w:pPr>
      <w:r>
        <w:rPr>
          <w:rFonts w:hint="eastAsia"/>
          <w:color w:val="000000" w:themeColor="text1"/>
        </w:rPr>
        <w:t>3</w:t>
      </w:r>
      <w:r>
        <w:rPr>
          <w:color w:val="000000" w:themeColor="text1"/>
        </w:rPr>
        <w:t>．《</w:t>
      </w:r>
      <w:r>
        <w:rPr>
          <w:rFonts w:hint="eastAsia"/>
          <w:color w:val="000000" w:themeColor="text1"/>
        </w:rPr>
        <w:t>国际汉语教学通用课程大纲</w:t>
      </w:r>
      <w:r>
        <w:rPr>
          <w:color w:val="000000" w:themeColor="text1"/>
        </w:rPr>
        <w:t>》，</w:t>
      </w:r>
      <w:r>
        <w:rPr>
          <w:rFonts w:hint="eastAsia"/>
          <w:color w:val="000000" w:themeColor="text1"/>
        </w:rPr>
        <w:t>孔子学院总部/国家汉办</w:t>
      </w:r>
      <w:r>
        <w:rPr>
          <w:color w:val="000000" w:themeColor="text1"/>
          <w:sz w:val="20"/>
        </w:rPr>
        <w:t>，</w:t>
      </w:r>
      <w:r>
        <w:rPr>
          <w:rFonts w:hint="eastAsia"/>
          <w:color w:val="000000" w:themeColor="text1"/>
          <w:szCs w:val="21"/>
        </w:rPr>
        <w:t>北京语言大学</w:t>
      </w:r>
      <w:r>
        <w:rPr>
          <w:color w:val="000000" w:themeColor="text1"/>
          <w:szCs w:val="21"/>
        </w:rPr>
        <w:t>出版社，</w:t>
      </w:r>
      <w:r>
        <w:rPr>
          <w:rFonts w:hint="eastAsia"/>
          <w:color w:val="000000" w:themeColor="text1"/>
          <w:szCs w:val="21"/>
        </w:rPr>
        <w:t>20</w:t>
      </w:r>
      <w:r>
        <w:rPr>
          <w:rFonts w:hint="eastAsia"/>
          <w:color w:val="000000" w:themeColor="text1"/>
        </w:rPr>
        <w:t>14</w:t>
      </w:r>
      <w:r>
        <w:rPr>
          <w:color w:val="000000" w:themeColor="text1"/>
        </w:rPr>
        <w:t>年版</w:t>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tabs>
          <w:tab w:val="left" w:pos="480"/>
        </w:tabs>
        <w:spacing w:line="360" w:lineRule="auto"/>
        <w:jc w:val="center"/>
        <w:rPr>
          <w:rFonts w:ascii="宋体" w:hAnsi="宋体" w:eastAsia="宋体"/>
          <w:b/>
          <w:color w:val="000000" w:themeColor="text1"/>
          <w:sz w:val="32"/>
          <w:szCs w:val="32"/>
        </w:rPr>
      </w:pPr>
      <w:r>
        <w:rPr>
          <w:rFonts w:ascii="宋体" w:hAnsi="宋体" w:eastAsia="宋体" w:cs="MS Mincho"/>
          <w:b/>
          <w:color w:val="000000" w:themeColor="text1"/>
          <w:sz w:val="32"/>
          <w:szCs w:val="32"/>
        </w:rPr>
        <w:t>中</w:t>
      </w:r>
      <w:r>
        <w:rPr>
          <w:rFonts w:ascii="宋体" w:hAnsi="宋体" w:eastAsia="宋体"/>
          <w:b/>
          <w:color w:val="000000" w:themeColor="text1"/>
          <w:sz w:val="32"/>
          <w:szCs w:val="32"/>
        </w:rPr>
        <w:t>华</w:t>
      </w:r>
      <w:r>
        <w:rPr>
          <w:rFonts w:ascii="宋体" w:hAnsi="宋体" w:eastAsia="宋体" w:cs="MS Mincho"/>
          <w:b/>
          <w:color w:val="000000" w:themeColor="text1"/>
          <w:sz w:val="32"/>
          <w:szCs w:val="32"/>
        </w:rPr>
        <w:t>文化</w:t>
      </w:r>
      <w:r>
        <w:rPr>
          <w:rFonts w:ascii="宋体" w:hAnsi="宋体" w:eastAsia="宋体"/>
          <w:b/>
          <w:color w:val="000000" w:themeColor="text1"/>
          <w:sz w:val="32"/>
          <w:szCs w:val="32"/>
        </w:rPr>
        <w:t>经</w:t>
      </w:r>
      <w:r>
        <w:rPr>
          <w:rFonts w:ascii="宋体" w:hAnsi="宋体" w:eastAsia="宋体" w:cs="MS Mincho"/>
          <w:b/>
          <w:color w:val="000000" w:themeColor="text1"/>
          <w:sz w:val="32"/>
          <w:szCs w:val="32"/>
        </w:rPr>
        <w:t>典</w:t>
      </w:r>
      <w:r>
        <w:rPr>
          <w:rFonts w:hint="eastAsia" w:ascii="宋体" w:hAnsi="宋体" w:eastAsia="宋体"/>
          <w:b/>
          <w:color w:val="000000" w:themeColor="text1"/>
          <w:sz w:val="32"/>
          <w:szCs w:val="32"/>
        </w:rPr>
        <w:t>课程教学大纲</w:t>
      </w:r>
    </w:p>
    <w:p>
      <w:pPr>
        <w:tabs>
          <w:tab w:val="left" w:pos="480"/>
        </w:tabs>
        <w:spacing w:line="360" w:lineRule="auto"/>
        <w:jc w:val="center"/>
        <w:rPr>
          <w:rFonts w:ascii="宋体" w:hAnsi="宋体" w:eastAsia="宋体"/>
          <w:b/>
          <w:color w:val="000000" w:themeColor="text1"/>
        </w:rPr>
      </w:pP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课程名称</w:t>
      </w:r>
      <w:r>
        <w:rPr>
          <w:rFonts w:hint="eastAsia" w:ascii="宋体" w:hAnsi="宋体" w:eastAsia="宋体"/>
          <w:color w:val="000000" w:themeColor="text1"/>
          <w:szCs w:val="24"/>
        </w:rPr>
        <w:t>：中华文化经典/ Classical Chinese cultures</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课程代码</w:t>
      </w:r>
      <w:r>
        <w:rPr>
          <w:rFonts w:hint="eastAsia" w:ascii="宋体" w:hAnsi="宋体" w:eastAsia="宋体"/>
          <w:color w:val="000000" w:themeColor="text1"/>
          <w:szCs w:val="24"/>
        </w:rPr>
        <w:t>：1504532018</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课程类型</w:t>
      </w:r>
      <w:r>
        <w:rPr>
          <w:rFonts w:hint="eastAsia" w:ascii="宋体" w:hAnsi="宋体" w:eastAsia="宋体"/>
          <w:color w:val="000000" w:themeColor="text1"/>
          <w:szCs w:val="24"/>
        </w:rPr>
        <w:t>：学科学位课扩展课程</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总学时数</w:t>
      </w:r>
      <w:r>
        <w:rPr>
          <w:rFonts w:hint="eastAsia" w:ascii="宋体" w:hAnsi="宋体" w:eastAsia="宋体"/>
          <w:color w:val="000000" w:themeColor="text1"/>
          <w:szCs w:val="24"/>
        </w:rPr>
        <w:t>： 32</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学    分</w:t>
      </w:r>
      <w:r>
        <w:rPr>
          <w:rFonts w:hint="eastAsia" w:ascii="宋体" w:hAnsi="宋体" w:eastAsia="宋体"/>
          <w:color w:val="000000" w:themeColor="text1"/>
          <w:szCs w:val="24"/>
        </w:rPr>
        <w:t>：</w:t>
      </w:r>
      <w:r>
        <w:rPr>
          <w:rFonts w:hint="eastAsia" w:ascii="宋体" w:hAnsi="宋体" w:eastAsia="宋体"/>
          <w:b/>
          <w:color w:val="000000" w:themeColor="text1"/>
          <w:szCs w:val="24"/>
        </w:rPr>
        <w:t xml:space="preserve"> </w:t>
      </w:r>
      <w:r>
        <w:rPr>
          <w:rFonts w:hint="eastAsia" w:ascii="宋体" w:hAnsi="宋体" w:eastAsia="宋体"/>
          <w:color w:val="000000" w:themeColor="text1"/>
          <w:szCs w:val="24"/>
        </w:rPr>
        <w:t>2</w:t>
      </w:r>
    </w:p>
    <w:p>
      <w:pPr>
        <w:pStyle w:val="62"/>
        <w:tabs>
          <w:tab w:val="left" w:pos="480"/>
          <w:tab w:val="left" w:pos="342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先修课程</w:t>
      </w:r>
      <w:r>
        <w:rPr>
          <w:rFonts w:hint="eastAsia" w:ascii="宋体" w:hAnsi="宋体" w:eastAsia="宋体"/>
          <w:color w:val="000000" w:themeColor="text1"/>
          <w:szCs w:val="24"/>
        </w:rPr>
        <w:t>：无</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开课单位</w:t>
      </w:r>
      <w:r>
        <w:rPr>
          <w:rFonts w:hint="eastAsia" w:ascii="宋体" w:hAnsi="宋体" w:eastAsia="宋体"/>
          <w:color w:val="000000" w:themeColor="text1"/>
          <w:szCs w:val="24"/>
        </w:rPr>
        <w:t>：人文与国际教育学院</w:t>
      </w:r>
    </w:p>
    <w:p>
      <w:pPr>
        <w:pStyle w:val="62"/>
        <w:tabs>
          <w:tab w:val="left" w:pos="480"/>
        </w:tabs>
        <w:adjustRightInd w:val="0"/>
        <w:snapToGrid w:val="0"/>
        <w:spacing w:line="360" w:lineRule="auto"/>
        <w:ind w:firstLine="482"/>
        <w:rPr>
          <w:rFonts w:ascii="宋体" w:hAnsi="宋体" w:eastAsia="宋体"/>
          <w:color w:val="000000" w:themeColor="text1"/>
          <w:szCs w:val="24"/>
        </w:rPr>
      </w:pPr>
      <w:r>
        <w:rPr>
          <w:rFonts w:hint="eastAsia" w:ascii="宋体" w:hAnsi="宋体" w:eastAsia="宋体"/>
          <w:b/>
          <w:color w:val="000000" w:themeColor="text1"/>
          <w:szCs w:val="24"/>
        </w:rPr>
        <w:t>面向学科</w:t>
      </w:r>
      <w:r>
        <w:rPr>
          <w:rFonts w:hint="eastAsia" w:ascii="宋体" w:hAnsi="宋体" w:eastAsia="宋体"/>
          <w:color w:val="000000" w:themeColor="text1"/>
          <w:szCs w:val="24"/>
        </w:rPr>
        <w:t>： 汉语国际教育专业硕士</w:t>
      </w:r>
    </w:p>
    <w:p>
      <w:pPr>
        <w:pStyle w:val="63"/>
        <w:tabs>
          <w:tab w:val="left" w:pos="480"/>
        </w:tabs>
        <w:adjustRightInd w:val="0"/>
        <w:snapToGrid w:val="0"/>
        <w:spacing w:before="0" w:after="0" w:line="360" w:lineRule="auto"/>
        <w:outlineLvl w:val="0"/>
        <w:rPr>
          <w:rFonts w:ascii="宋体" w:hAnsi="宋体" w:eastAsia="宋体"/>
          <w:color w:val="000000" w:themeColor="text1"/>
          <w:szCs w:val="24"/>
        </w:rPr>
      </w:pPr>
      <w:r>
        <w:rPr>
          <w:rFonts w:hint="eastAsia" w:ascii="宋体" w:hAnsi="宋体" w:eastAsia="宋体"/>
          <w:color w:val="000000" w:themeColor="text1"/>
          <w:szCs w:val="24"/>
        </w:rPr>
        <w:t>一、课程的性质、目的和任务</w:t>
      </w:r>
    </w:p>
    <w:p>
      <w:pPr>
        <w:tabs>
          <w:tab w:val="left" w:pos="480"/>
        </w:tabs>
        <w:adjustRightInd w:val="0"/>
        <w:snapToGrid w:val="0"/>
        <w:spacing w:line="360" w:lineRule="auto"/>
        <w:ind w:firstLine="480"/>
        <w:rPr>
          <w:rFonts w:ascii="宋体" w:hAnsi="宋体" w:eastAsia="宋体" w:cs="宋体"/>
          <w:color w:val="000000" w:themeColor="text1"/>
        </w:rPr>
      </w:pPr>
      <w:r>
        <w:rPr>
          <w:rFonts w:hint="eastAsia" w:ascii="宋体" w:hAnsi="宋体" w:eastAsia="宋体" w:cs="宋体"/>
          <w:color w:val="000000" w:themeColor="text1"/>
        </w:rPr>
        <w:t>《中国文化经典》是汉语国际教育专业留学生研究生学位方向课。课程宗旨在于通过学习中国文化经典文本，使留学生建构中国文化的理性认知与感性体悟；课程任务是探讨中国文化中哲学、宗教、政治、伦理、文学艺术、科技等各个层面领域的经典文本；课程目标是通过学习，使留学生建立起历史性情境下对于中国传统文化的同情理解和敬意阐释，最终形成传统与现代相结合的视野融合，为当前国际化、全球化的文化传播与交流，为中国文化的世界化、全球化发展奠定坚实的学术文化基础。</w:t>
      </w:r>
    </w:p>
    <w:p>
      <w:pPr>
        <w:pStyle w:val="63"/>
        <w:tabs>
          <w:tab w:val="left" w:pos="480"/>
        </w:tabs>
        <w:adjustRightInd w:val="0"/>
        <w:snapToGrid w:val="0"/>
        <w:spacing w:before="0" w:after="0" w:line="360" w:lineRule="auto"/>
        <w:outlineLvl w:val="0"/>
        <w:rPr>
          <w:rFonts w:ascii="宋体" w:hAnsi="宋体" w:eastAsia="宋体"/>
          <w:color w:val="000000" w:themeColor="text1"/>
          <w:szCs w:val="24"/>
        </w:rPr>
      </w:pPr>
      <w:r>
        <w:rPr>
          <w:rFonts w:hint="eastAsia" w:ascii="宋体" w:hAnsi="宋体" w:eastAsia="宋体"/>
          <w:color w:val="000000" w:themeColor="text1"/>
          <w:szCs w:val="24"/>
        </w:rPr>
        <w:t>二、教学内容及教学基本要求</w:t>
      </w:r>
    </w:p>
    <w:p>
      <w:pPr>
        <w:tabs>
          <w:tab w:val="left" w:pos="480"/>
        </w:tabs>
        <w:adjustRightInd w:val="0"/>
        <w:snapToGrid w:val="0"/>
        <w:spacing w:line="240" w:lineRule="atLeast"/>
        <w:ind w:firstLine="480"/>
        <w:rPr>
          <w:rFonts w:ascii="宋体" w:hAnsi="宋体" w:eastAsia="宋体" w:cs="宋体"/>
          <w:color w:val="000000" w:themeColor="text1"/>
        </w:rPr>
      </w:pPr>
      <w:r>
        <w:rPr>
          <w:rFonts w:hint="eastAsia" w:ascii="宋体" w:hAnsi="宋体" w:eastAsia="宋体" w:cs="宋体"/>
          <w:color w:val="000000" w:themeColor="text1"/>
        </w:rPr>
        <w:t>导论</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先秦理性精神</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一、儒道互补</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《诗经》、《论语》、《道德经》、《庄子》、《荀子》、《孟子》</w:t>
      </w:r>
    </w:p>
    <w:p>
      <w:pPr>
        <w:tabs>
          <w:tab w:val="left" w:pos="480"/>
        </w:tabs>
        <w:adjustRightInd w:val="0"/>
        <w:snapToGrid w:val="0"/>
        <w:spacing w:line="240" w:lineRule="atLeast"/>
        <w:rPr>
          <w:rFonts w:ascii="宋体" w:hAnsi="宋体" w:eastAsia="宋体" w:cs="宋体"/>
          <w:color w:val="000000" w:themeColor="text1"/>
        </w:rPr>
      </w:pPr>
      <w:r>
        <w:rPr>
          <w:rFonts w:hint="eastAsia" w:ascii="宋体" w:hAnsi="宋体" w:eastAsia="宋体" w:cs="宋体"/>
          <w:color w:val="000000" w:themeColor="text1"/>
        </w:rPr>
        <w:t xml:space="preserve">           二、墨法对立</w:t>
      </w:r>
    </w:p>
    <w:p>
      <w:pPr>
        <w:tabs>
          <w:tab w:val="left" w:pos="480"/>
        </w:tabs>
        <w:adjustRightInd w:val="0"/>
        <w:snapToGrid w:val="0"/>
        <w:spacing w:line="240" w:lineRule="atLeast"/>
        <w:rPr>
          <w:rFonts w:ascii="宋体" w:hAnsi="宋体" w:eastAsia="宋体" w:cs="宋体"/>
          <w:color w:val="000000" w:themeColor="text1"/>
        </w:rPr>
      </w:pPr>
      <w:r>
        <w:rPr>
          <w:rFonts w:hint="eastAsia" w:ascii="宋体" w:hAnsi="宋体" w:eastAsia="宋体" w:cs="宋体"/>
          <w:color w:val="000000" w:themeColor="text1"/>
        </w:rPr>
        <w:t xml:space="preserve">           《墨子》、《韩非子》、《孙子》</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楚汉浪漫主义</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一、楚辞的重鬼信巫</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《离骚》</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二、文学与史学典范</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《史记》</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魏晋风度与文化自觉</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一、禅宗与玄学</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《六祖坛经》、《心经》、《金刚经》、《论衡》、《神灭论》</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二、名教与道教</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“竹林七贤”、《抱朴子》、《世说新语》</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汉唐盛世与诗歌国度</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一、盛世平庸</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《贞观政要》、《群书治要》</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二、诗的盛唐</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“边塞诗”、“田园诗”、“游仙诗”，“诗圣”杜甫、“诗仙”李白、“诗佛”王维</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斯文世界与社会治理</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一、重文抑武与文化范式</w:t>
      </w:r>
    </w:p>
    <w:p>
      <w:pPr>
        <w:tabs>
          <w:tab w:val="left" w:pos="480"/>
        </w:tabs>
        <w:adjustRightInd w:val="0"/>
        <w:snapToGrid w:val="0"/>
        <w:spacing w:line="240" w:lineRule="atLeast"/>
        <w:rPr>
          <w:rFonts w:ascii="宋体" w:hAnsi="宋体" w:eastAsia="宋体" w:cs="宋体"/>
          <w:color w:val="000000" w:themeColor="text1"/>
        </w:rPr>
      </w:pPr>
      <w:r>
        <w:rPr>
          <w:rFonts w:hint="eastAsia" w:ascii="宋体" w:hAnsi="宋体" w:eastAsia="宋体" w:cs="宋体"/>
          <w:color w:val="000000" w:themeColor="text1"/>
        </w:rPr>
        <w:t xml:space="preserve">           宋词、“唐宋八大家”</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二、文官体制与商贸经济</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科举策论考试、张择端《清明上河图》</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宋明理学与文化转向</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一、文化寻根与天理人欲</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《朱子语类》《传习录》</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二、市民社会与流行文化</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《三国演义》《水浒》《西游记》《金瓶梅》</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丝绸之路与科技之光</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一、蒙古西征与郑和航海</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“四大发明”、《梦溪笔谈》</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二、形上之道与形下之器</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《易经》《黄帝内经》《水经注》《本草纲目》《天工开物》《营造法式》《九章算术》《伤寒杂病论》《徐霞客游记》</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文艺复兴与近代转型</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一、杂剧率性与传奇抒情</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《赵氏孤儿》、《西厢记》、《牡丹亭》、《桃花扇》、《长生殿》</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二、乾嘉考据与西学东渐</w:t>
      </w:r>
    </w:p>
    <w:p>
      <w:pPr>
        <w:pStyle w:val="67"/>
        <w:tabs>
          <w:tab w:val="left" w:pos="480"/>
        </w:tabs>
        <w:adjustRightInd w:val="0"/>
        <w:snapToGrid w:val="0"/>
        <w:spacing w:line="240" w:lineRule="atLeast"/>
        <w:ind w:left="1320" w:firstLine="0" w:firstLineChars="0"/>
        <w:rPr>
          <w:rFonts w:ascii="宋体" w:hAnsi="宋体" w:cs="宋体"/>
          <w:color w:val="000000" w:themeColor="text1"/>
        </w:rPr>
      </w:pPr>
      <w:r>
        <w:rPr>
          <w:rFonts w:hint="eastAsia" w:ascii="宋体" w:hAnsi="宋体" w:cs="宋体"/>
          <w:color w:val="000000" w:themeColor="text1"/>
        </w:rPr>
        <w:t>《明夷待访录》、《日知录》、《焚书》、《人间词话》、《红楼梦》</w:t>
      </w:r>
    </w:p>
    <w:p>
      <w:pPr>
        <w:pStyle w:val="67"/>
        <w:numPr>
          <w:ilvl w:val="0"/>
          <w:numId w:val="7"/>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救亡启蒙与现代发展</w:t>
      </w:r>
    </w:p>
    <w:p>
      <w:pPr>
        <w:pStyle w:val="67"/>
        <w:numPr>
          <w:ilvl w:val="0"/>
          <w:numId w:val="8"/>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鲁迅与国民性批判</w:t>
      </w:r>
    </w:p>
    <w:p>
      <w:pPr>
        <w:pStyle w:val="67"/>
        <w:numPr>
          <w:ilvl w:val="0"/>
          <w:numId w:val="8"/>
        </w:numPr>
        <w:tabs>
          <w:tab w:val="left" w:pos="480"/>
        </w:tabs>
        <w:adjustRightInd w:val="0"/>
        <w:snapToGrid w:val="0"/>
        <w:spacing w:line="240" w:lineRule="atLeast"/>
        <w:ind w:firstLineChars="0"/>
        <w:rPr>
          <w:rFonts w:ascii="宋体" w:hAnsi="宋体" w:cs="宋体"/>
          <w:color w:val="000000" w:themeColor="text1"/>
        </w:rPr>
      </w:pPr>
      <w:r>
        <w:rPr>
          <w:rFonts w:hint="eastAsia" w:ascii="宋体" w:hAnsi="宋体" w:cs="宋体"/>
          <w:color w:val="000000" w:themeColor="text1"/>
        </w:rPr>
        <w:t>莫言的现代性书写</w:t>
      </w:r>
    </w:p>
    <w:p>
      <w:pPr>
        <w:pStyle w:val="67"/>
        <w:tabs>
          <w:tab w:val="left" w:pos="480"/>
        </w:tabs>
        <w:adjustRightInd w:val="0"/>
        <w:snapToGrid w:val="0"/>
        <w:spacing w:line="240" w:lineRule="atLeast"/>
        <w:ind w:firstLine="0" w:firstLineChars="0"/>
        <w:rPr>
          <w:rFonts w:ascii="宋体" w:hAnsi="宋体" w:cs="宋体"/>
          <w:color w:val="000000" w:themeColor="text1"/>
        </w:rPr>
      </w:pPr>
    </w:p>
    <w:p>
      <w:pPr>
        <w:pStyle w:val="63"/>
        <w:tabs>
          <w:tab w:val="left" w:pos="480"/>
        </w:tabs>
        <w:adjustRightInd w:val="0"/>
        <w:snapToGrid w:val="0"/>
        <w:spacing w:before="0" w:after="0" w:line="360" w:lineRule="auto"/>
        <w:outlineLvl w:val="0"/>
        <w:rPr>
          <w:rFonts w:ascii="宋体" w:hAnsi="宋体" w:eastAsia="宋体"/>
          <w:color w:val="000000" w:themeColor="text1"/>
          <w:szCs w:val="24"/>
        </w:rPr>
      </w:pPr>
      <w:r>
        <w:rPr>
          <w:rFonts w:hint="eastAsia" w:ascii="宋体" w:hAnsi="宋体" w:eastAsia="宋体"/>
          <w:color w:val="000000" w:themeColor="text1"/>
          <w:szCs w:val="24"/>
        </w:rPr>
        <w:t>三、学时分配表</w:t>
      </w:r>
    </w:p>
    <w:tbl>
      <w:tblPr>
        <w:tblStyle w:val="30"/>
        <w:tblW w:w="7749" w:type="dxa"/>
        <w:tblInd w:w="6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导论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第一章 先秦理性精神</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第二章 楚汉浪漫主义</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第三章 魏晋风度与文化自觉</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第四章 汉唐盛世与诗歌国度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第五章 斯文世界与社会治理</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第六章 宋明理学与文化转向</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第七章 丝绸之路与科技之光</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9</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第八章 文艺复兴与近代转型</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10</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rPr>
                <w:rFonts w:ascii="宋体" w:hAnsi="宋体" w:eastAsia="宋体" w:cs="宋体"/>
                <w:color w:val="000000" w:themeColor="text1"/>
              </w:rPr>
            </w:pPr>
            <w:r>
              <w:rPr>
                <w:rFonts w:hint="eastAsia" w:ascii="宋体" w:hAnsi="宋体" w:eastAsia="宋体" w:cs="宋体"/>
                <w:color w:val="000000" w:themeColor="text1"/>
              </w:rPr>
              <w:t>第九章 救亡启蒙与现代发展</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69"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tabs>
                <w:tab w:val="left" w:pos="480"/>
              </w:tabs>
              <w:adjustRightInd w:val="0"/>
              <w:snapToGrid w:val="0"/>
              <w:spacing w:line="360" w:lineRule="auto"/>
              <w:jc w:val="center"/>
              <w:rPr>
                <w:rFonts w:ascii="宋体" w:hAnsi="宋体" w:eastAsia="宋体" w:cs="宋体"/>
                <w:color w:val="000000" w:themeColor="text1"/>
              </w:rPr>
            </w:pPr>
            <w:r>
              <w:rPr>
                <w:rFonts w:hint="eastAsia" w:ascii="宋体" w:hAnsi="宋体" w:eastAsia="宋体" w:cs="宋体"/>
                <w:color w:val="000000" w:themeColor="text1"/>
              </w:rPr>
              <w:t>32</w:t>
            </w:r>
          </w:p>
        </w:tc>
      </w:tr>
    </w:tbl>
    <w:p>
      <w:pPr>
        <w:pStyle w:val="63"/>
        <w:tabs>
          <w:tab w:val="left" w:pos="480"/>
        </w:tabs>
        <w:adjustRightInd w:val="0"/>
        <w:snapToGrid w:val="0"/>
        <w:spacing w:before="0" w:after="0" w:line="360" w:lineRule="auto"/>
        <w:outlineLvl w:val="0"/>
        <w:rPr>
          <w:rFonts w:ascii="宋体" w:hAnsi="宋体" w:eastAsia="宋体"/>
          <w:color w:val="000000" w:themeColor="text1"/>
          <w:szCs w:val="24"/>
        </w:rPr>
      </w:pPr>
    </w:p>
    <w:p>
      <w:pPr>
        <w:pStyle w:val="63"/>
        <w:tabs>
          <w:tab w:val="left" w:pos="480"/>
        </w:tabs>
        <w:adjustRightInd w:val="0"/>
        <w:snapToGrid w:val="0"/>
        <w:spacing w:before="0" w:after="0" w:line="360" w:lineRule="auto"/>
        <w:outlineLvl w:val="0"/>
        <w:rPr>
          <w:rFonts w:ascii="宋体" w:hAnsi="宋体" w:eastAsia="宋体"/>
          <w:color w:val="000000" w:themeColor="text1"/>
          <w:szCs w:val="24"/>
        </w:rPr>
      </w:pPr>
      <w:r>
        <w:rPr>
          <w:rFonts w:hint="eastAsia" w:ascii="宋体" w:hAnsi="宋体" w:eastAsia="宋体"/>
          <w:color w:val="000000" w:themeColor="text1"/>
          <w:szCs w:val="24"/>
        </w:rPr>
        <w:t>四、课程考核方法及要求</w:t>
      </w:r>
    </w:p>
    <w:p>
      <w:pPr>
        <w:pStyle w:val="64"/>
        <w:tabs>
          <w:tab w:val="left" w:pos="480"/>
        </w:tabs>
        <w:adjustRightInd w:val="0"/>
        <w:snapToGrid w:val="0"/>
        <w:spacing w:line="360" w:lineRule="auto"/>
        <w:ind w:firstLine="480"/>
        <w:rPr>
          <w:rFonts w:ascii="宋体" w:hAnsi="宋体" w:eastAsia="宋体"/>
          <w:color w:val="000000" w:themeColor="text1"/>
          <w:sz w:val="24"/>
          <w:szCs w:val="24"/>
        </w:rPr>
      </w:pPr>
      <w:r>
        <w:rPr>
          <w:rFonts w:hint="eastAsia" w:ascii="宋体" w:hAnsi="宋体" w:eastAsia="宋体"/>
          <w:color w:val="000000" w:themeColor="text1"/>
          <w:sz w:val="24"/>
          <w:szCs w:val="24"/>
        </w:rPr>
        <w:t>1．考核方式：考试（）；考查（√）</w:t>
      </w:r>
    </w:p>
    <w:p>
      <w:pPr>
        <w:tabs>
          <w:tab w:val="left" w:pos="480"/>
        </w:tabs>
        <w:adjustRightInd w:val="0"/>
        <w:snapToGrid w:val="0"/>
        <w:spacing w:line="360" w:lineRule="auto"/>
        <w:ind w:left="420" w:leftChars="200" w:firstLine="420" w:firstLineChars="200"/>
        <w:rPr>
          <w:rFonts w:ascii="宋体" w:hAnsi="宋体" w:eastAsia="宋体" w:cs="宋体"/>
          <w:color w:val="000000" w:themeColor="text1"/>
        </w:rPr>
      </w:pPr>
      <w:r>
        <w:rPr>
          <w:rFonts w:hint="eastAsia" w:ascii="宋体" w:hAnsi="宋体" w:eastAsia="宋体" w:cs="宋体"/>
          <w:color w:val="000000" w:themeColor="text1"/>
        </w:rPr>
        <w:t xml:space="preserve">考核采用平时阶段性作业检测和期末试卷考试相结合的方式进行，平时成绩包括学习态度、课后习题、读书报告、课堂内外讨论等占60％，期末试卷考试成绩占40％。 </w:t>
      </w:r>
    </w:p>
    <w:p>
      <w:pPr>
        <w:pStyle w:val="64"/>
        <w:tabs>
          <w:tab w:val="left" w:pos="480"/>
        </w:tabs>
        <w:adjustRightInd w:val="0"/>
        <w:snapToGrid w:val="0"/>
        <w:spacing w:line="360" w:lineRule="auto"/>
        <w:ind w:firstLine="480"/>
        <w:rPr>
          <w:rFonts w:ascii="宋体" w:hAnsi="宋体" w:eastAsia="宋体"/>
          <w:color w:val="000000" w:themeColor="text1"/>
          <w:sz w:val="24"/>
          <w:szCs w:val="24"/>
        </w:rPr>
      </w:pPr>
      <w:r>
        <w:rPr>
          <w:rFonts w:hint="eastAsia" w:ascii="宋体" w:hAnsi="宋体" w:eastAsia="宋体"/>
          <w:color w:val="000000" w:themeColor="text1"/>
          <w:sz w:val="24"/>
          <w:szCs w:val="24"/>
        </w:rPr>
        <w:t>2．成绩评定：</w:t>
      </w:r>
    </w:p>
    <w:p>
      <w:pPr>
        <w:pStyle w:val="65"/>
        <w:tabs>
          <w:tab w:val="left" w:pos="480"/>
        </w:tabs>
        <w:adjustRightInd w:val="0"/>
        <w:snapToGrid w:val="0"/>
        <w:spacing w:line="360" w:lineRule="auto"/>
        <w:ind w:firstLine="830"/>
        <w:rPr>
          <w:rFonts w:ascii="宋体" w:hAnsi="宋体" w:eastAsia="宋体"/>
          <w:color w:val="000000" w:themeColor="text1"/>
          <w:sz w:val="24"/>
          <w:szCs w:val="24"/>
        </w:rPr>
      </w:pPr>
      <w:r>
        <w:rPr>
          <w:rFonts w:hint="eastAsia" w:ascii="宋体" w:hAnsi="宋体" w:eastAsia="宋体"/>
          <w:color w:val="000000" w:themeColor="text1"/>
          <w:sz w:val="24"/>
          <w:szCs w:val="24"/>
        </w:rPr>
        <w:t>计分制：百分制（√）；五级分制（）；两级分制（）</w:t>
      </w:r>
    </w:p>
    <w:p>
      <w:pPr>
        <w:pStyle w:val="65"/>
        <w:tabs>
          <w:tab w:val="left" w:pos="480"/>
        </w:tabs>
        <w:adjustRightInd w:val="0"/>
        <w:snapToGrid w:val="0"/>
        <w:spacing w:line="360" w:lineRule="auto"/>
        <w:ind w:firstLine="830"/>
        <w:rPr>
          <w:rFonts w:ascii="宋体" w:hAnsi="宋体" w:eastAsia="宋体"/>
          <w:color w:val="000000" w:themeColor="text1"/>
          <w:sz w:val="24"/>
          <w:szCs w:val="24"/>
        </w:rPr>
      </w:pPr>
      <w:r>
        <w:rPr>
          <w:rFonts w:hint="eastAsia" w:ascii="宋体" w:hAnsi="宋体" w:eastAsia="宋体"/>
          <w:color w:val="000000" w:themeColor="text1"/>
          <w:sz w:val="24"/>
          <w:szCs w:val="24"/>
        </w:rPr>
        <w:t>总评成绩构成：平时考核（60）％；期末考核（40）％</w:t>
      </w:r>
    </w:p>
    <w:p>
      <w:pPr>
        <w:pStyle w:val="63"/>
        <w:tabs>
          <w:tab w:val="left" w:pos="480"/>
        </w:tabs>
        <w:adjustRightInd w:val="0"/>
        <w:snapToGrid w:val="0"/>
        <w:spacing w:before="0" w:after="0" w:line="360" w:lineRule="auto"/>
        <w:outlineLvl w:val="0"/>
        <w:rPr>
          <w:rFonts w:ascii="宋体" w:hAnsi="宋体" w:eastAsia="宋体"/>
          <w:color w:val="000000" w:themeColor="text1"/>
          <w:szCs w:val="24"/>
        </w:rPr>
      </w:pPr>
      <w:r>
        <w:rPr>
          <w:rFonts w:hint="eastAsia" w:ascii="宋体" w:hAnsi="宋体" w:eastAsia="宋体"/>
          <w:color w:val="000000" w:themeColor="text1"/>
          <w:szCs w:val="24"/>
        </w:rPr>
        <w:t>五、建议教材及参考资料</w:t>
      </w:r>
    </w:p>
    <w:p>
      <w:pPr>
        <w:pStyle w:val="66"/>
        <w:tabs>
          <w:tab w:val="left" w:pos="480"/>
        </w:tabs>
        <w:adjustRightInd w:val="0"/>
        <w:snapToGrid w:val="0"/>
        <w:spacing w:line="360" w:lineRule="auto"/>
        <w:ind w:firstLine="482"/>
        <w:rPr>
          <w:rFonts w:ascii="宋体" w:hAnsi="宋体" w:eastAsia="宋体"/>
          <w:color w:val="000000" w:themeColor="text1"/>
          <w:sz w:val="24"/>
          <w:szCs w:val="24"/>
        </w:rPr>
      </w:pPr>
      <w:r>
        <w:rPr>
          <w:rFonts w:hint="eastAsia" w:ascii="宋体" w:hAnsi="宋体" w:eastAsia="宋体"/>
          <w:color w:val="000000" w:themeColor="text1"/>
          <w:sz w:val="24"/>
          <w:szCs w:val="24"/>
        </w:rPr>
        <w:t>建议教材：无</w:t>
      </w:r>
    </w:p>
    <w:p>
      <w:pPr>
        <w:tabs>
          <w:tab w:val="left" w:pos="480"/>
        </w:tabs>
        <w:adjustRightInd w:val="0"/>
        <w:snapToGrid w:val="0"/>
        <w:spacing w:line="360" w:lineRule="auto"/>
        <w:ind w:firstLine="420" w:firstLineChars="200"/>
        <w:rPr>
          <w:rFonts w:ascii="宋体" w:hAnsi="宋体" w:eastAsia="宋体" w:cs="宋体"/>
          <w:b/>
          <w:color w:val="000000" w:themeColor="text1"/>
        </w:rPr>
      </w:pPr>
      <w:r>
        <w:rPr>
          <w:rFonts w:hint="eastAsia" w:ascii="宋体" w:hAnsi="宋体" w:eastAsia="宋体" w:cs="宋体"/>
          <w:b/>
          <w:color w:val="000000" w:themeColor="text1"/>
        </w:rPr>
        <w:t>参考资料：</w:t>
      </w:r>
    </w:p>
    <w:p>
      <w:pPr>
        <w:tabs>
          <w:tab w:val="left" w:pos="480"/>
        </w:tabs>
        <w:adjustRightInd w:val="0"/>
        <w:snapToGrid w:val="0"/>
        <w:spacing w:line="360" w:lineRule="auto"/>
        <w:ind w:left="480"/>
        <w:jc w:val="left"/>
        <w:rPr>
          <w:rFonts w:ascii="宋体" w:hAnsi="宋体" w:eastAsia="宋体" w:cs="宋体"/>
          <w:color w:val="000000" w:themeColor="text1"/>
        </w:rPr>
      </w:pPr>
      <w:r>
        <w:rPr>
          <w:rFonts w:hint="eastAsia" w:ascii="宋体" w:hAnsi="宋体" w:eastAsia="宋体" w:cs="宋体"/>
          <w:color w:val="000000" w:themeColor="text1"/>
        </w:rPr>
        <w:t>1. 国务院参事室编：《中华传统文化经典百篇》，中华书局，2016年；</w:t>
      </w:r>
    </w:p>
    <w:p>
      <w:pPr>
        <w:tabs>
          <w:tab w:val="left" w:pos="480"/>
        </w:tabs>
        <w:adjustRightInd w:val="0"/>
        <w:snapToGrid w:val="0"/>
        <w:spacing w:line="360" w:lineRule="auto"/>
        <w:ind w:left="480"/>
        <w:jc w:val="left"/>
        <w:rPr>
          <w:rFonts w:ascii="宋体" w:hAnsi="宋体" w:eastAsia="宋体" w:cs="宋体"/>
          <w:bCs/>
          <w:color w:val="000000" w:themeColor="text1"/>
          <w:kern w:val="0"/>
        </w:rPr>
      </w:pPr>
      <w:r>
        <w:rPr>
          <w:rFonts w:hint="eastAsia" w:ascii="宋体" w:hAnsi="宋体" w:eastAsia="宋体" w:cs="宋体"/>
          <w:color w:val="000000" w:themeColor="text1"/>
        </w:rPr>
        <w:t>2．楼宇烈：《中国文化的根本精神</w:t>
      </w:r>
      <w:r>
        <w:rPr>
          <w:rFonts w:hint="eastAsia" w:ascii="宋体" w:hAnsi="宋体" w:eastAsia="宋体" w:cs="宋体"/>
          <w:bCs/>
          <w:color w:val="000000" w:themeColor="text1"/>
          <w:kern w:val="0"/>
        </w:rPr>
        <w:t>》，中华书局，2016年；</w:t>
      </w:r>
    </w:p>
    <w:p>
      <w:pPr>
        <w:tabs>
          <w:tab w:val="left" w:pos="480"/>
        </w:tabs>
        <w:adjustRightInd w:val="0"/>
        <w:snapToGrid w:val="0"/>
        <w:spacing w:line="360" w:lineRule="auto"/>
        <w:ind w:left="480"/>
        <w:jc w:val="left"/>
        <w:rPr>
          <w:rFonts w:ascii="宋体" w:hAnsi="宋体" w:eastAsia="宋体" w:cs="宋体"/>
          <w:bCs/>
          <w:color w:val="000000" w:themeColor="text1"/>
          <w:kern w:val="0"/>
        </w:rPr>
      </w:pPr>
      <w:r>
        <w:rPr>
          <w:rFonts w:hint="eastAsia" w:ascii="宋体" w:hAnsi="宋体" w:eastAsia="宋体" w:cs="宋体"/>
          <w:bCs/>
          <w:color w:val="000000" w:themeColor="text1"/>
          <w:kern w:val="0"/>
        </w:rPr>
        <w:t>3. 牟钟鉴；《中国文化的当下精神》，中华书局，2016年；</w:t>
      </w:r>
    </w:p>
    <w:p>
      <w:pPr>
        <w:widowControl/>
        <w:tabs>
          <w:tab w:val="left" w:pos="480"/>
        </w:tabs>
        <w:adjustRightInd w:val="0"/>
        <w:snapToGrid w:val="0"/>
        <w:spacing w:line="360" w:lineRule="auto"/>
        <w:ind w:firstLine="420"/>
        <w:jc w:val="left"/>
        <w:rPr>
          <w:rFonts w:ascii="宋体" w:hAnsi="宋体" w:eastAsia="宋体" w:cs="宋体"/>
          <w:bCs/>
          <w:color w:val="000000" w:themeColor="text1"/>
          <w:kern w:val="0"/>
        </w:rPr>
      </w:pPr>
      <w:r>
        <w:rPr>
          <w:rFonts w:hint="eastAsia" w:ascii="宋体" w:hAnsi="宋体" w:eastAsia="宋体" w:cs="宋体"/>
          <w:bCs/>
          <w:color w:val="000000" w:themeColor="text1"/>
          <w:kern w:val="0"/>
        </w:rPr>
        <w:t>4. 许嘉璐：《中国文化的前途与命运》，中华书局，2017年；</w:t>
      </w:r>
    </w:p>
    <w:p>
      <w:pPr>
        <w:widowControl/>
        <w:tabs>
          <w:tab w:val="left" w:pos="480"/>
        </w:tabs>
        <w:adjustRightInd w:val="0"/>
        <w:snapToGrid w:val="0"/>
        <w:spacing w:line="360" w:lineRule="auto"/>
        <w:ind w:firstLine="420"/>
        <w:jc w:val="left"/>
        <w:rPr>
          <w:rFonts w:ascii="宋体" w:hAnsi="宋体" w:eastAsia="宋体" w:cs="宋体"/>
          <w:bCs/>
          <w:color w:val="000000" w:themeColor="text1"/>
          <w:kern w:val="0"/>
        </w:rPr>
      </w:pPr>
      <w:r>
        <w:rPr>
          <w:rFonts w:hint="eastAsia" w:ascii="宋体" w:hAnsi="宋体" w:eastAsia="宋体" w:cs="宋体"/>
          <w:color w:val="000000" w:themeColor="text1"/>
        </w:rPr>
        <w:t>5. 李欧梵：</w:t>
      </w:r>
      <w:r>
        <w:rPr>
          <w:rFonts w:hint="eastAsia" w:ascii="宋体" w:hAnsi="宋体" w:eastAsia="宋体" w:cs="宋体"/>
          <w:bCs/>
          <w:color w:val="000000" w:themeColor="text1"/>
          <w:kern w:val="0"/>
        </w:rPr>
        <w:t xml:space="preserve">《中国文化传统的六个面向》，中华书局，2017年； </w:t>
      </w:r>
    </w:p>
    <w:p>
      <w:pPr>
        <w:widowControl/>
        <w:tabs>
          <w:tab w:val="left" w:pos="480"/>
        </w:tabs>
        <w:adjustRightInd w:val="0"/>
        <w:snapToGrid w:val="0"/>
        <w:spacing w:line="360" w:lineRule="auto"/>
        <w:ind w:firstLine="420"/>
        <w:jc w:val="left"/>
        <w:rPr>
          <w:rFonts w:ascii="宋体" w:hAnsi="宋体" w:eastAsia="宋体" w:cs="宋体"/>
          <w:bCs/>
          <w:color w:val="000000" w:themeColor="text1"/>
          <w:kern w:val="0"/>
        </w:rPr>
      </w:pPr>
      <w:r>
        <w:rPr>
          <w:rFonts w:hint="eastAsia" w:ascii="宋体" w:hAnsi="宋体" w:eastAsia="宋体" w:cs="宋体"/>
          <w:bCs/>
          <w:color w:val="000000" w:themeColor="text1"/>
          <w:kern w:val="0"/>
        </w:rPr>
        <w:t>6. 徐复观：《中国艺术精神》，商务印书馆，2010年。</w:t>
      </w:r>
    </w:p>
    <w:p>
      <w:pPr>
        <w:pStyle w:val="2"/>
        <w:spacing w:line="360" w:lineRule="auto"/>
        <w:rPr>
          <w:color w:val="000000" w:themeColor="text1"/>
          <w:sz w:val="32"/>
          <w:szCs w:val="32"/>
        </w:rPr>
      </w:pPr>
      <w:r>
        <w:rPr>
          <w:rFonts w:hint="eastAsia"/>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当代中国专题课程教学大纲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：当代中国专题 Contemporary</w:t>
      </w:r>
      <w:r>
        <w:rPr>
          <w:color w:val="000000" w:themeColor="text1"/>
          <w:sz w:val="21"/>
          <w:szCs w:val="21"/>
        </w:rPr>
        <w:t xml:space="preserve"> Chinese Studies   </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ascii="宋体" w:hAnsi="宋体"/>
          <w:color w:val="000000" w:themeColor="text1"/>
          <w:sz w:val="21"/>
          <w:szCs w:val="21"/>
        </w:rPr>
        <w:t>0000152004</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：公共学位课</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汉语国际教育来华留学硕士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205" w:firstLineChars="98"/>
        <w:jc w:val="left"/>
        <w:rPr>
          <w:rFonts w:cs="宋体"/>
          <w:color w:val="000000" w:themeColor="text1"/>
          <w:szCs w:val="21"/>
        </w:rPr>
      </w:pPr>
      <w:r>
        <w:rPr>
          <w:rFonts w:hint="eastAsia" w:cs="宋体"/>
          <w:color w:val="000000" w:themeColor="text1"/>
          <w:szCs w:val="21"/>
        </w:rPr>
        <w:t>《当代中国专题》是汉语国际教育来华留学硕士专业公共学位课之一。</w:t>
      </w:r>
      <w:r>
        <w:rPr>
          <w:rFonts w:hint="eastAsia"/>
          <w:bCs/>
          <w:color w:val="000000" w:themeColor="text1"/>
          <w:kern w:val="0"/>
          <w:szCs w:val="21"/>
        </w:rPr>
        <w:t>本课程的目的在于使学生了解当代中国政治、经济、文化等热点问题。从而提高留学生对中国的了解，培养他们对中国国情的深刻了解达到具有宽容性和处理异国文化差异的灵活性。</w:t>
      </w:r>
      <w:r>
        <w:rPr>
          <w:rFonts w:hint="eastAsia" w:cs="宋体"/>
          <w:color w:val="000000" w:themeColor="text1"/>
          <w:szCs w:val="21"/>
        </w:rPr>
        <w:t>通过课堂中国当代专题的案例分析教学，使学生</w:t>
      </w:r>
      <w:r>
        <w:rPr>
          <w:rFonts w:cs="宋体"/>
          <w:color w:val="000000" w:themeColor="text1"/>
          <w:szCs w:val="21"/>
        </w:rPr>
        <w:t>系统全面地</w:t>
      </w:r>
      <w:r>
        <w:rPr>
          <w:rFonts w:hint="eastAsia" w:cs="宋体"/>
          <w:color w:val="000000" w:themeColor="text1"/>
          <w:szCs w:val="21"/>
        </w:rPr>
        <w:t>掌握</w:t>
      </w:r>
      <w:r>
        <w:rPr>
          <w:rFonts w:cs="宋体"/>
          <w:color w:val="000000" w:themeColor="text1"/>
          <w:szCs w:val="21"/>
        </w:rPr>
        <w:t>中</w:t>
      </w:r>
      <w:r>
        <w:rPr>
          <w:rFonts w:hint="eastAsia" w:cs="宋体"/>
          <w:color w:val="000000" w:themeColor="text1"/>
          <w:szCs w:val="21"/>
        </w:rPr>
        <w:t>西方政治体制、文化差异、生活差异及</w:t>
      </w:r>
      <w:r>
        <w:rPr>
          <w:rFonts w:cs="宋体"/>
          <w:color w:val="000000" w:themeColor="text1"/>
          <w:szCs w:val="21"/>
        </w:rPr>
        <w:t>各</w:t>
      </w:r>
      <w:r>
        <w:rPr>
          <w:rFonts w:hint="eastAsia" w:cs="宋体"/>
          <w:color w:val="000000" w:themeColor="text1"/>
          <w:szCs w:val="21"/>
        </w:rPr>
        <w:t>相关</w:t>
      </w:r>
      <w:r>
        <w:rPr>
          <w:rFonts w:cs="宋体"/>
          <w:color w:val="000000" w:themeColor="text1"/>
          <w:szCs w:val="21"/>
        </w:rPr>
        <w:t>方面的知识，以便胜任与</w:t>
      </w:r>
      <w:r>
        <w:rPr>
          <w:rFonts w:hint="eastAsia" w:cs="宋体"/>
          <w:color w:val="000000" w:themeColor="text1"/>
          <w:szCs w:val="21"/>
        </w:rPr>
        <w:t>汉语国际教育</w:t>
      </w:r>
      <w:r>
        <w:rPr>
          <w:rFonts w:cs="宋体"/>
          <w:color w:val="000000" w:themeColor="text1"/>
          <w:szCs w:val="21"/>
        </w:rPr>
        <w:t>有关的各种工作，并为深入研究专门领域的</w:t>
      </w:r>
      <w:r>
        <w:rPr>
          <w:rFonts w:hint="eastAsia" w:cs="宋体"/>
          <w:color w:val="000000" w:themeColor="text1"/>
          <w:szCs w:val="21"/>
        </w:rPr>
        <w:t>中国问题能力</w:t>
      </w:r>
      <w:r>
        <w:rPr>
          <w:rFonts w:cs="宋体"/>
          <w:color w:val="000000" w:themeColor="text1"/>
          <w:szCs w:val="21"/>
        </w:rPr>
        <w:t>打下基础</w:t>
      </w:r>
      <w:r>
        <w:rPr>
          <w:rFonts w:hint="eastAsia" w:cs="宋体"/>
          <w:color w:val="000000" w:themeColor="text1"/>
          <w:szCs w:val="21"/>
        </w:rPr>
        <w:t>。</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spacing w:line="360" w:lineRule="auto"/>
        <w:ind w:firstLine="420" w:firstLineChars="200"/>
        <w:rPr>
          <w:bCs/>
          <w:color w:val="000000" w:themeColor="text1"/>
          <w:kern w:val="0"/>
          <w:szCs w:val="21"/>
        </w:rPr>
      </w:pPr>
      <w:r>
        <w:rPr>
          <w:color w:val="000000" w:themeColor="text1"/>
          <w:szCs w:val="21"/>
        </w:rPr>
        <w:t xml:space="preserve"> </w:t>
      </w:r>
      <w:r>
        <w:rPr>
          <w:rFonts w:hint="eastAsia" w:ascii="宋体" w:hAnsi="宋体" w:cs="宋体"/>
          <w:color w:val="000000" w:themeColor="text1"/>
          <w:kern w:val="0"/>
          <w:szCs w:val="21"/>
        </w:rPr>
        <w:t>本课程开设一个学期，结合对外汉语专业的特点，</w:t>
      </w:r>
      <w:r>
        <w:rPr>
          <w:rFonts w:hint="eastAsia"/>
          <w:color w:val="000000" w:themeColor="text1"/>
          <w:szCs w:val="21"/>
        </w:rPr>
        <w:t>适当介绍中国专题热点研究的新成果。</w:t>
      </w:r>
      <w:r>
        <w:rPr>
          <w:rFonts w:hint="eastAsia" w:ascii="宋体" w:hAnsi="宋体" w:cs="宋体"/>
          <w:color w:val="000000" w:themeColor="text1"/>
          <w:kern w:val="0"/>
          <w:szCs w:val="21"/>
        </w:rPr>
        <w:t>并力求贯彻理论联系实际的原则，</w:t>
      </w:r>
      <w:r>
        <w:rPr>
          <w:rFonts w:hint="eastAsia"/>
          <w:bCs/>
          <w:color w:val="000000" w:themeColor="text1"/>
          <w:kern w:val="0"/>
          <w:szCs w:val="21"/>
        </w:rPr>
        <w:t>介绍中国当代热点问题的基本概念、具体的政治（对留学生政策）、经济（房地产、股票、基金、一带一路、学区房）等概念、教育、文化等。</w:t>
      </w:r>
    </w:p>
    <w:p>
      <w:pPr>
        <w:spacing w:line="360" w:lineRule="auto"/>
        <w:ind w:firstLine="420" w:firstLineChars="200"/>
        <w:rPr>
          <w:color w:val="000000" w:themeColor="text1"/>
          <w:szCs w:val="21"/>
        </w:rPr>
      </w:pPr>
      <w:r>
        <w:rPr>
          <w:rFonts w:hint="eastAsia" w:ascii="宋体" w:hAnsi="宋体" w:cs="宋体"/>
          <w:color w:val="000000" w:themeColor="text1"/>
          <w:kern w:val="0"/>
          <w:szCs w:val="21"/>
        </w:rPr>
        <w:t>以课堂教师讲授为主，适当辅以课堂讨论和练习。</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 xml:space="preserve">课程介绍 </w:t>
            </w:r>
          </w:p>
          <w:p>
            <w:pPr>
              <w:widowControl/>
              <w:spacing w:line="360" w:lineRule="auto"/>
              <w:rPr>
                <w:rFonts w:cs="宋体"/>
                <w:color w:val="000000" w:themeColor="text1"/>
                <w:szCs w:val="21"/>
              </w:rPr>
            </w:pPr>
            <w:r>
              <w:rPr>
                <w:rFonts w:cs="宋体"/>
                <w:color w:val="000000" w:themeColor="text1"/>
                <w:szCs w:val="21"/>
              </w:rPr>
              <w:t>第一</w:t>
            </w:r>
            <w:r>
              <w:rPr>
                <w:rFonts w:hint="eastAsia" w:cs="宋体"/>
                <w:color w:val="000000" w:themeColor="text1"/>
                <w:szCs w:val="21"/>
              </w:rPr>
              <w:t>讲</w:t>
            </w:r>
            <w:r>
              <w:rPr>
                <w:rFonts w:cs="宋体"/>
                <w:color w:val="000000" w:themeColor="text1"/>
                <w:szCs w:val="21"/>
              </w:rPr>
              <w:t xml:space="preserve"> </w:t>
            </w:r>
            <w:r>
              <w:rPr>
                <w:rFonts w:hint="eastAsia" w:cs="宋体"/>
                <w:color w:val="000000" w:themeColor="text1"/>
                <w:szCs w:val="21"/>
              </w:rPr>
              <w:t>课程介绍，概述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第二讲 中国的政治</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第三讲 中国的经济</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第四讲 中国的文化</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第五讲 中国的教育</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第六讲 中国的对外政策</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第七讲中国的当代热点（一带一路等）</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rPr>
                <w:rFonts w:cs="宋体"/>
                <w:color w:val="000000" w:themeColor="text1"/>
                <w:szCs w:val="21"/>
              </w:rPr>
            </w:pPr>
            <w:r>
              <w:rPr>
                <w:rFonts w:hint="eastAsia" w:cs="宋体"/>
                <w:color w:val="000000" w:themeColor="text1"/>
                <w:szCs w:val="21"/>
              </w:rPr>
              <w:t>案例分析与课堂讨论陈述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spacing w:line="360" w:lineRule="auto"/>
        <w:ind w:left="420" w:leftChars="200" w:firstLine="420" w:firstLineChars="200"/>
        <w:rPr>
          <w:rFonts w:ascii="宋体" w:hAnsi="宋体"/>
          <w:color w:val="000000" w:themeColor="text1"/>
          <w:szCs w:val="21"/>
        </w:rPr>
      </w:pPr>
      <w:r>
        <w:rPr>
          <w:rFonts w:hint="eastAsia" w:ascii="宋体" w:hAnsi="宋体"/>
          <w:color w:val="000000" w:themeColor="text1"/>
          <w:szCs w:val="21"/>
        </w:rPr>
        <w:t xml:space="preserve">考核采用平时阶段性作业检测和期末试卷考试相结合的方式进行，平时成绩包括学习态度、课后习题、读书报告、课堂内外讨论等占50％，期末试卷考试成绩占50％。 </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w:t>
      </w:r>
      <w:r>
        <w:rPr>
          <w:color w:val="000000" w:themeColor="text1"/>
        </w:rPr>
        <w:t>50</w:t>
      </w:r>
      <w:r>
        <w:rPr>
          <w:rFonts w:hint="eastAsia"/>
          <w:color w:val="000000" w:themeColor="text1"/>
        </w:rPr>
        <w:t>）％；期末考核（</w:t>
      </w:r>
      <w:r>
        <w:rPr>
          <w:color w:val="000000" w:themeColor="text1"/>
        </w:rPr>
        <w:t>50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210" w:firstLineChars="100"/>
        <w:rPr>
          <w:rFonts w:ascii="宋体" w:hAnsi="宋体"/>
          <w:color w:val="000000" w:themeColor="text1"/>
          <w:szCs w:val="21"/>
        </w:rPr>
      </w:pPr>
      <w:r>
        <w:rPr>
          <w:rFonts w:hint="eastAsia" w:ascii="宋体" w:hAnsi="宋体"/>
          <w:color w:val="000000" w:themeColor="text1"/>
          <w:szCs w:val="21"/>
        </w:rPr>
        <w:t xml:space="preserve">《 当代中国专题》， </w:t>
      </w:r>
      <w:r>
        <w:rPr>
          <w:rFonts w:ascii="宋体" w:hAnsi="宋体"/>
          <w:color w:val="000000" w:themeColor="text1"/>
          <w:szCs w:val="21"/>
        </w:rPr>
        <w:t xml:space="preserve"> </w:t>
      </w:r>
      <w:r>
        <w:rPr>
          <w:rFonts w:hint="eastAsia" w:ascii="宋体" w:hAnsi="宋体"/>
          <w:color w:val="000000" w:themeColor="text1"/>
          <w:szCs w:val="21"/>
        </w:rPr>
        <w:t xml:space="preserve"> 严慧仙主编， 活页讲义。</w:t>
      </w:r>
    </w:p>
    <w:p>
      <w:pPr>
        <w:spacing w:line="360" w:lineRule="auto"/>
        <w:ind w:firstLine="420" w:firstLineChars="200"/>
        <w:rPr>
          <w:rFonts w:ascii="宋体" w:hAnsi="宋体"/>
          <w:b/>
          <w:color w:val="000000" w:themeColor="text1"/>
          <w:szCs w:val="21"/>
        </w:rPr>
      </w:pPr>
      <w:r>
        <w:rPr>
          <w:rFonts w:hint="eastAsia" w:ascii="宋体" w:hAnsi="宋体"/>
          <w:b/>
          <w:color w:val="000000" w:themeColor="text1"/>
          <w:szCs w:val="21"/>
        </w:rPr>
        <w:t>参考资料：</w:t>
      </w:r>
    </w:p>
    <w:p>
      <w:pPr>
        <w:widowControl/>
        <w:numPr>
          <w:ilvl w:val="0"/>
          <w:numId w:val="9"/>
        </w:numPr>
        <w:spacing w:line="360" w:lineRule="auto"/>
        <w:jc w:val="left"/>
        <w:rPr>
          <w:color w:val="000000" w:themeColor="text1"/>
          <w:szCs w:val="21"/>
        </w:rPr>
      </w:pPr>
      <w:r>
        <w:rPr>
          <w:rFonts w:hint="eastAsia"/>
          <w:color w:val="000000" w:themeColor="text1"/>
          <w:szCs w:val="21"/>
        </w:rPr>
        <w:t>新华网</w:t>
      </w:r>
    </w:p>
    <w:p>
      <w:pPr>
        <w:widowControl/>
        <w:numPr>
          <w:ilvl w:val="0"/>
          <w:numId w:val="9"/>
        </w:numPr>
        <w:spacing w:line="360" w:lineRule="auto"/>
        <w:jc w:val="left"/>
        <w:rPr>
          <w:bCs/>
          <w:color w:val="000000" w:themeColor="text1"/>
          <w:kern w:val="0"/>
          <w:sz w:val="24"/>
          <w:szCs w:val="24"/>
        </w:rPr>
      </w:pPr>
      <w:r>
        <w:rPr>
          <w:rFonts w:hint="eastAsia"/>
          <w:color w:val="000000" w:themeColor="text1"/>
          <w:szCs w:val="21"/>
        </w:rPr>
        <w:t>中国政府网</w:t>
      </w:r>
    </w:p>
    <w:p>
      <w:pPr>
        <w:widowControl/>
        <w:numPr>
          <w:ilvl w:val="0"/>
          <w:numId w:val="9"/>
        </w:numPr>
        <w:spacing w:line="360" w:lineRule="auto"/>
        <w:jc w:val="left"/>
        <w:rPr>
          <w:bCs/>
          <w:color w:val="000000" w:themeColor="text1"/>
          <w:kern w:val="0"/>
          <w:sz w:val="24"/>
          <w:szCs w:val="24"/>
        </w:rPr>
      </w:pPr>
      <w:r>
        <w:rPr>
          <w:color w:val="000000" w:themeColor="text1"/>
          <w:szCs w:val="21"/>
        </w:rPr>
        <w:t>CCTV</w:t>
      </w:r>
    </w:p>
    <w:p>
      <w:pPr>
        <w:pStyle w:val="71"/>
        <w:spacing w:line="360" w:lineRule="auto"/>
        <w:ind w:firstLine="0"/>
        <w:jc w:val="center"/>
        <w:rPr>
          <w:rFonts w:cs="宋体"/>
          <w:b/>
          <w:bCs/>
          <w:color w:val="000000" w:themeColor="text1"/>
          <w:sz w:val="32"/>
          <w:szCs w:val="32"/>
        </w:rPr>
      </w:pPr>
      <w:r>
        <w:rPr>
          <w:rFonts w:hint="eastAsia" w:cs="宋体"/>
          <w:b/>
          <w:bCs/>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71"/>
        <w:spacing w:line="360" w:lineRule="auto"/>
        <w:ind w:firstLine="0"/>
        <w:jc w:val="center"/>
        <w:rPr>
          <w:b/>
          <w:bCs/>
          <w:color w:val="000000" w:themeColor="text1"/>
          <w:sz w:val="21"/>
          <w:szCs w:val="21"/>
        </w:rPr>
      </w:pPr>
      <w:r>
        <w:rPr>
          <w:rFonts w:hint="eastAsia" w:cs="宋体"/>
          <w:b/>
          <w:bCs/>
          <w:color w:val="000000" w:themeColor="text1"/>
          <w:sz w:val="32"/>
          <w:szCs w:val="32"/>
        </w:rPr>
        <w:t>中外文化比较课程教学大纲</w:t>
      </w:r>
    </w:p>
    <w:p>
      <w:pPr>
        <w:adjustRightInd w:val="0"/>
        <w:spacing w:line="360" w:lineRule="auto"/>
        <w:ind w:firstLine="420" w:firstLineChars="200"/>
        <w:rPr>
          <w:rFonts w:ascii="宋体" w:hAnsi="宋体" w:eastAsia="宋体" w:cs="宋体"/>
          <w:color w:val="000000" w:themeColor="text1"/>
          <w:szCs w:val="21"/>
        </w:rPr>
      </w:pPr>
      <w:r>
        <w:rPr>
          <w:rFonts w:hint="eastAsia" w:ascii="Times New Roman" w:hAnsi="Times New Roman" w:cs="宋体"/>
          <w:b/>
          <w:bCs/>
          <w:color w:val="000000" w:themeColor="text1"/>
        </w:rPr>
        <w:t>课程名称：</w:t>
      </w:r>
      <w:r>
        <w:rPr>
          <w:rFonts w:hint="eastAsia" w:hAnsi="宋体" w:cs="Times New Roman"/>
          <w:color w:val="000000" w:themeColor="text1"/>
          <w:szCs w:val="24"/>
        </w:rPr>
        <w:t>中外文化比较</w:t>
      </w:r>
      <w:r>
        <w:rPr>
          <w:rFonts w:hint="eastAsia" w:ascii="宋体" w:hAnsi="宋体" w:eastAsia="宋体" w:cs="宋体"/>
          <w:color w:val="000000" w:themeColor="text1"/>
          <w:szCs w:val="21"/>
        </w:rPr>
        <w:t>/Comparison between Chinese and Foreign Cultures</w:t>
      </w:r>
    </w:p>
    <w:p>
      <w:pPr>
        <w:adjustRightInd w:val="0"/>
        <w:spacing w:line="360" w:lineRule="auto"/>
        <w:ind w:firstLine="420" w:firstLineChars="200"/>
        <w:rPr>
          <w:rFonts w:ascii="宋体" w:hAnsi="宋体" w:eastAsia="宋体" w:cs="宋体"/>
          <w:color w:val="000000" w:themeColor="text1"/>
          <w:szCs w:val="21"/>
        </w:rPr>
      </w:pPr>
      <w:r>
        <w:rPr>
          <w:rFonts w:hint="eastAsia" w:ascii="Times New Roman" w:hAnsi="Times New Roman" w:cs="宋体"/>
          <w:b/>
          <w:bCs/>
          <w:color w:val="000000" w:themeColor="text1"/>
        </w:rPr>
        <w:t>课程代码：</w:t>
      </w:r>
      <w:r>
        <w:rPr>
          <w:rFonts w:ascii="宋体" w:hAnsi="宋体" w:eastAsia="宋体" w:cs="宋体"/>
          <w:color w:val="000000" w:themeColor="text1"/>
          <w:sz w:val="27"/>
          <w:szCs w:val="27"/>
        </w:rPr>
        <w:t>1504531012</w:t>
      </w:r>
      <w:r>
        <w:rPr>
          <w:rFonts w:hint="eastAsia" w:ascii="宋体" w:hAnsi="宋体" w:eastAsia="宋体" w:cs="宋体"/>
          <w:color w:val="000000" w:themeColor="text1"/>
          <w:szCs w:val="21"/>
        </w:rPr>
        <w:t xml:space="preserve"> </w:t>
      </w:r>
    </w:p>
    <w:p>
      <w:pPr>
        <w:adjustRightInd w:val="0"/>
        <w:spacing w:line="360" w:lineRule="auto"/>
        <w:ind w:firstLine="420" w:firstLineChars="200"/>
        <w:rPr>
          <w:rFonts w:ascii="Times New Roman" w:hAnsi="Times New Roman" w:cs="Times New Roman"/>
          <w:b/>
          <w:bCs/>
          <w:color w:val="000000" w:themeColor="text1"/>
        </w:rPr>
      </w:pPr>
      <w:r>
        <w:rPr>
          <w:rFonts w:hint="eastAsia" w:ascii="Times New Roman" w:hAnsi="Times New Roman" w:cs="宋体"/>
          <w:b/>
          <w:bCs/>
          <w:color w:val="000000" w:themeColor="text1"/>
        </w:rPr>
        <w:t>开课学期：</w:t>
      </w:r>
      <w:r>
        <w:rPr>
          <w:rFonts w:hint="eastAsia" w:ascii="Times New Roman" w:hAnsi="Times New Roman" w:cs="宋体"/>
          <w:color w:val="000000" w:themeColor="text1"/>
        </w:rPr>
        <w:t xml:space="preserve">2 </w:t>
      </w:r>
    </w:p>
    <w:p>
      <w:pPr>
        <w:tabs>
          <w:tab w:val="left" w:pos="3420"/>
        </w:tabs>
        <w:adjustRightInd w:val="0"/>
        <w:spacing w:line="360" w:lineRule="auto"/>
        <w:ind w:firstLine="420" w:firstLineChars="200"/>
        <w:rPr>
          <w:rFonts w:ascii="Times New Roman" w:hAnsi="Times New Roman" w:cs="Times New Roman"/>
          <w:color w:val="000000" w:themeColor="text1"/>
        </w:rPr>
      </w:pPr>
      <w:r>
        <w:rPr>
          <w:rFonts w:hint="eastAsia" w:ascii="Times New Roman" w:hAnsi="Times New Roman" w:cs="宋体"/>
          <w:b/>
          <w:bCs/>
          <w:color w:val="000000" w:themeColor="text1"/>
        </w:rPr>
        <w:t xml:space="preserve">学分 </w:t>
      </w:r>
      <w:r>
        <w:rPr>
          <w:rFonts w:ascii="Times New Roman" w:hAnsi="Times New Roman" w:cs="Times New Roman"/>
          <w:bCs/>
          <w:color w:val="000000" w:themeColor="text1"/>
        </w:rPr>
        <w:t>/</w:t>
      </w:r>
      <w:r>
        <w:rPr>
          <w:rFonts w:ascii="Times New Roman" w:hAnsi="Times New Roman" w:cs="Times New Roman"/>
          <w:b/>
          <w:bCs/>
          <w:color w:val="000000" w:themeColor="text1"/>
        </w:rPr>
        <w:t xml:space="preserve"> </w:t>
      </w:r>
      <w:r>
        <w:rPr>
          <w:rFonts w:hint="eastAsia" w:ascii="Times New Roman" w:hAnsi="Times New Roman" w:cs="宋体"/>
          <w:b/>
          <w:bCs/>
          <w:color w:val="000000" w:themeColor="text1"/>
        </w:rPr>
        <w:t>学时：</w:t>
      </w:r>
      <w:r>
        <w:rPr>
          <w:rFonts w:hint="eastAsia" w:ascii="Times New Roman" w:hAnsi="Times New Roman" w:cs="宋体"/>
          <w:bCs/>
          <w:color w:val="000000" w:themeColor="text1"/>
        </w:rPr>
        <w:t>1</w:t>
      </w:r>
      <w:r>
        <w:rPr>
          <w:rFonts w:ascii="Times New Roman" w:hAnsi="Times New Roman" w:cs="Times New Roman"/>
          <w:color w:val="000000" w:themeColor="text1"/>
        </w:rPr>
        <w:t>/</w:t>
      </w:r>
      <w:r>
        <w:rPr>
          <w:rFonts w:hint="eastAsia" w:ascii="Times New Roman" w:hAnsi="Times New Roman" w:cs="Times New Roman"/>
          <w:color w:val="000000" w:themeColor="text1"/>
        </w:rPr>
        <w:t>16（理论：16）</w:t>
      </w:r>
    </w:p>
    <w:p>
      <w:pPr>
        <w:spacing w:line="360" w:lineRule="auto"/>
        <w:ind w:firstLine="411" w:firstLineChars="196"/>
        <w:rPr>
          <w:rFonts w:ascii="Times New Roman" w:hAnsi="Times New Roman" w:cs="宋体"/>
          <w:b/>
          <w:bCs/>
          <w:color w:val="000000" w:themeColor="text1"/>
        </w:rPr>
      </w:pPr>
      <w:r>
        <w:rPr>
          <w:rFonts w:hint="eastAsia" w:ascii="Times New Roman" w:hAnsi="Times New Roman" w:cs="宋体"/>
          <w:b/>
          <w:bCs/>
          <w:color w:val="000000" w:themeColor="text1"/>
        </w:rPr>
        <w:t>课程类别：</w:t>
      </w:r>
      <w:r>
        <w:rPr>
          <w:rFonts w:hint="eastAsia"/>
          <w:color w:val="000000" w:themeColor="text1"/>
          <w:szCs w:val="21"/>
        </w:rPr>
        <w:t>学科学位课扩展课程</w:t>
      </w:r>
    </w:p>
    <w:p>
      <w:pPr>
        <w:tabs>
          <w:tab w:val="left" w:pos="3420"/>
        </w:tabs>
        <w:adjustRightInd w:val="0"/>
        <w:spacing w:line="360" w:lineRule="auto"/>
        <w:ind w:firstLine="420" w:firstLineChars="200"/>
        <w:rPr>
          <w:rFonts w:ascii="宋体" w:hAnsi="宋体"/>
          <w:color w:val="000000" w:themeColor="text1"/>
        </w:rPr>
      </w:pPr>
      <w:r>
        <w:rPr>
          <w:rFonts w:hint="eastAsia" w:ascii="Times New Roman" w:hAnsi="Times New Roman" w:cs="宋体"/>
          <w:b/>
          <w:bCs/>
          <w:color w:val="000000" w:themeColor="text1"/>
        </w:rPr>
        <w:t xml:space="preserve">先修课程 </w:t>
      </w:r>
      <w:r>
        <w:rPr>
          <w:rFonts w:ascii="Times New Roman" w:hAnsi="Times New Roman" w:cs="Times New Roman"/>
          <w:bCs/>
          <w:color w:val="000000" w:themeColor="text1"/>
        </w:rPr>
        <w:t>/</w:t>
      </w:r>
      <w:r>
        <w:rPr>
          <w:rFonts w:hint="eastAsia" w:ascii="Times New Roman" w:hAnsi="Times New Roman" w:cs="Times New Roman"/>
          <w:b/>
          <w:bCs/>
          <w:color w:val="000000" w:themeColor="text1"/>
        </w:rPr>
        <w:t xml:space="preserve"> </w:t>
      </w:r>
      <w:r>
        <w:rPr>
          <w:rFonts w:hint="eastAsia" w:ascii="Times New Roman" w:hAnsi="Times New Roman" w:cs="宋体"/>
          <w:b/>
          <w:bCs/>
          <w:color w:val="000000" w:themeColor="text1"/>
        </w:rPr>
        <w:t>后修课程：</w:t>
      </w:r>
      <w:r>
        <w:rPr>
          <w:rFonts w:hint="eastAsia" w:ascii="Times New Roman" w:hAnsi="Times New Roman" w:cs="宋体"/>
          <w:bCs/>
          <w:color w:val="000000" w:themeColor="text1"/>
        </w:rPr>
        <w:t>无</w:t>
      </w:r>
    </w:p>
    <w:p>
      <w:pPr>
        <w:adjustRightInd w:val="0"/>
        <w:spacing w:line="360" w:lineRule="auto"/>
        <w:ind w:firstLine="411" w:firstLineChars="196"/>
        <w:rPr>
          <w:rFonts w:ascii="Times New Roman" w:hAnsi="Times New Roman" w:cs="Times New Roman"/>
          <w:color w:val="000000" w:themeColor="text1"/>
        </w:rPr>
      </w:pPr>
      <w:r>
        <w:rPr>
          <w:rFonts w:ascii="Times New Roman" w:hAnsi="Times New Roman" w:cs="Times New Roman"/>
          <w:b/>
          <w:color w:val="000000" w:themeColor="text1"/>
        </w:rPr>
        <w:t>开设单位：</w:t>
      </w:r>
      <w:r>
        <w:rPr>
          <w:rFonts w:ascii="Times New Roman" w:hAnsi="Times New Roman" w:cs="Times New Roman"/>
          <w:color w:val="000000" w:themeColor="text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汉语国际教育专业硕士</w:t>
      </w:r>
    </w:p>
    <w:p>
      <w:pPr>
        <w:pStyle w:val="62"/>
        <w:spacing w:line="360" w:lineRule="auto"/>
        <w:ind w:firstLine="420"/>
        <w:rPr>
          <w:color w:val="000000" w:themeColor="text1"/>
          <w:sz w:val="21"/>
          <w:szCs w:val="21"/>
        </w:rPr>
      </w:pPr>
    </w:p>
    <w:p>
      <w:pPr>
        <w:adjustRightInd w:val="0"/>
        <w:spacing w:line="360" w:lineRule="auto"/>
        <w:ind w:firstLine="411" w:firstLineChars="196"/>
        <w:rPr>
          <w:rFonts w:ascii="Times New Roman" w:hAnsi="Times New Roman" w:cs="Times New Roman"/>
          <w:b/>
          <w:bCs/>
          <w:color w:val="000000" w:themeColor="text1"/>
        </w:rPr>
      </w:pPr>
      <w:r>
        <w:rPr>
          <w:rFonts w:hint="eastAsia" w:ascii="Times New Roman" w:hAnsi="Times New Roman" w:cs="宋体"/>
          <w:b/>
          <w:bCs/>
          <w:color w:val="000000" w:themeColor="text1"/>
        </w:rPr>
        <w:t>一、课程简介（包含课程性质、目的和任务）（500字左右）</w:t>
      </w:r>
    </w:p>
    <w:p>
      <w:pPr>
        <w:spacing w:line="360" w:lineRule="auto"/>
        <w:ind w:firstLine="411" w:firstLineChars="196"/>
        <w:rPr>
          <w:rFonts w:ascii="Times New Roman" w:hAnsi="Times New Roman" w:cs="宋体"/>
          <w:color w:val="000000" w:themeColor="text1"/>
        </w:rPr>
      </w:pPr>
      <w:r>
        <w:rPr>
          <w:rFonts w:hint="eastAsia" w:ascii="Times New Roman" w:hAnsi="Times New Roman" w:cs="宋体"/>
          <w:color w:val="000000" w:themeColor="text1"/>
        </w:rPr>
        <w:t>本课程是通识教育类选修课，通过该课程学习可使</w:t>
      </w:r>
      <w:r>
        <w:rPr>
          <w:rFonts w:hint="eastAsia" w:ascii="宋体" w:hAnsi="宋体"/>
          <w:color w:val="000000" w:themeColor="text1"/>
        </w:rPr>
        <w:t>学生初步了解中外文化比较的基本原理，扩大文化视野，引发对世界文化多元化的思考。</w:t>
      </w:r>
      <w:r>
        <w:rPr>
          <w:rFonts w:hint="eastAsia" w:ascii="Times New Roman" w:hAnsi="Times New Roman" w:cs="宋体"/>
          <w:color w:val="000000" w:themeColor="text1"/>
        </w:rPr>
        <w:t>本课程通过</w:t>
      </w:r>
      <w:r>
        <w:rPr>
          <w:rFonts w:hint="eastAsia"/>
          <w:color w:val="000000" w:themeColor="text1"/>
        </w:rPr>
        <w:t>深入研究中外文化间的相似关系、亲缘关系和影响关系，</w:t>
      </w:r>
      <w:r>
        <w:rPr>
          <w:rFonts w:hint="eastAsia" w:ascii="Times New Roman" w:hAnsi="Times New Roman" w:cs="宋体"/>
          <w:color w:val="000000" w:themeColor="text1"/>
        </w:rPr>
        <w:t>使学生掌握</w:t>
      </w:r>
      <w:r>
        <w:rPr>
          <w:rFonts w:hint="eastAsia" w:ascii="Times New Roman" w:hAnsi="Times New Roman" w:cs="宋体"/>
          <w:bCs/>
          <w:color w:val="000000" w:themeColor="text1"/>
        </w:rPr>
        <w:t>中外文化比较的基本原理和方法</w:t>
      </w:r>
      <w:r>
        <w:rPr>
          <w:rFonts w:hint="eastAsia" w:ascii="Times New Roman" w:hAnsi="Times New Roman" w:cs="宋体"/>
          <w:color w:val="000000" w:themeColor="text1"/>
        </w:rPr>
        <w:t>。通过本课程教学，学生应达到</w:t>
      </w:r>
      <w:r>
        <w:rPr>
          <w:rFonts w:hint="eastAsia" w:ascii="宋体" w:hAnsi="宋体"/>
          <w:color w:val="000000" w:themeColor="text1"/>
        </w:rPr>
        <w:t>在面临全球化的国际社会背景中，加强关注人类精神文化活动的自觉意识，借鉴和吸收外国优秀文化，并更充分认识中国文化的价值和文学成就，提高文化的鉴赏能力和思考能力的</w:t>
      </w:r>
      <w:r>
        <w:rPr>
          <w:rFonts w:hint="eastAsia" w:ascii="Times New Roman" w:hAnsi="Times New Roman" w:cs="宋体"/>
          <w:color w:val="000000" w:themeColor="text1"/>
        </w:rPr>
        <w:t>教学目标。</w:t>
      </w:r>
    </w:p>
    <w:p>
      <w:pPr>
        <w:spacing w:line="360" w:lineRule="auto"/>
        <w:ind w:firstLine="411" w:firstLineChars="196"/>
        <w:rPr>
          <w:color w:val="000000" w:themeColor="text1"/>
        </w:rPr>
      </w:pPr>
      <w:r>
        <w:rPr>
          <w:rFonts w:hint="eastAsia" w:ascii="Times New Roman" w:hAnsi="Times New Roman" w:cs="宋体"/>
          <w:color w:val="000000" w:themeColor="text1"/>
        </w:rPr>
        <w:t>本课程主要介绍中外</w:t>
      </w:r>
      <w:r>
        <w:rPr>
          <w:rFonts w:hint="eastAsia"/>
          <w:color w:val="000000" w:themeColor="text1"/>
        </w:rPr>
        <w:t>文化比较学的学科历史、基本原理、基本概念、基本方法和学科性质。</w:t>
      </w:r>
    </w:p>
    <w:p>
      <w:pPr>
        <w:spacing w:line="360" w:lineRule="auto"/>
        <w:ind w:firstLine="435"/>
        <w:jc w:val="left"/>
        <w:rPr>
          <w:rFonts w:ascii="宋体" w:hAnsi="宋体"/>
          <w:bCs/>
          <w:color w:val="000000" w:themeColor="text1"/>
          <w:szCs w:val="18"/>
        </w:rPr>
      </w:pPr>
      <w:r>
        <w:rPr>
          <w:rFonts w:hint="eastAsia" w:ascii="宋体" w:hAnsi="宋体"/>
          <w:bCs/>
          <w:color w:val="000000" w:themeColor="text1"/>
          <w:szCs w:val="18"/>
        </w:rPr>
        <w:t>本课程重点支持以下毕业要求指标点：</w:t>
      </w:r>
    </w:p>
    <w:p>
      <w:pPr>
        <w:spacing w:line="360" w:lineRule="auto"/>
        <w:ind w:firstLine="435"/>
        <w:jc w:val="left"/>
        <w:rPr>
          <w:rFonts w:ascii="宋体" w:hAnsi="宋体"/>
          <w:bCs/>
          <w:color w:val="000000" w:themeColor="text1"/>
          <w:szCs w:val="18"/>
        </w:rPr>
      </w:pPr>
      <w:r>
        <w:rPr>
          <w:rFonts w:hint="eastAsia" w:ascii="宋体" w:hAnsi="宋体"/>
          <w:bCs/>
          <w:color w:val="000000" w:themeColor="text1"/>
          <w:szCs w:val="18"/>
        </w:rPr>
        <w:t xml:space="preserve">8.职业规范：具有人文社会科学素养、社会责任感，能够在工程实践中理解并遵守工程职业道德和规范，履行责任。 </w:t>
      </w:r>
    </w:p>
    <w:p>
      <w:pPr>
        <w:spacing w:line="360" w:lineRule="auto"/>
        <w:ind w:firstLine="435"/>
        <w:jc w:val="left"/>
        <w:rPr>
          <w:rFonts w:ascii="宋体" w:hAnsi="宋体"/>
          <w:bCs/>
          <w:color w:val="000000" w:themeColor="text1"/>
          <w:szCs w:val="18"/>
        </w:rPr>
      </w:pPr>
      <w:r>
        <w:rPr>
          <w:rFonts w:hint="eastAsia" w:ascii="宋体" w:hAnsi="宋体"/>
          <w:bCs/>
          <w:color w:val="000000" w:themeColor="text1"/>
          <w:szCs w:val="18"/>
        </w:rPr>
        <w:t>10.沟通：能够就复杂工程问题与业界同行及社会公众进行有效沟通和交流，包括撰写报告和设计文稿、陈述发言、清晰表达或回应指令。并具备一定的国际视野，能够在跨文化背景下进行沟通和交流。</w:t>
      </w:r>
    </w:p>
    <w:p>
      <w:pPr>
        <w:adjustRightInd w:val="0"/>
        <w:spacing w:beforeLines="50" w:afterLines="50" w:line="360" w:lineRule="auto"/>
        <w:ind w:firstLine="411" w:firstLineChars="196"/>
        <w:rPr>
          <w:rFonts w:ascii="宋体" w:hAnsi="宋体"/>
          <w:color w:val="000000" w:themeColor="text1"/>
        </w:rPr>
      </w:pPr>
      <w:r>
        <w:rPr>
          <w:rFonts w:hint="eastAsia" w:ascii="Times New Roman" w:hAnsi="Times New Roman" w:cs="宋体"/>
          <w:b/>
          <w:bCs/>
          <w:color w:val="000000" w:themeColor="text1"/>
        </w:rPr>
        <w:t>二、教学内容、基本要求及学时分配</w:t>
      </w:r>
    </w:p>
    <w:p>
      <w:pPr>
        <w:adjustRightInd w:val="0"/>
        <w:spacing w:beforeLines="50" w:afterLines="50" w:line="360" w:lineRule="auto"/>
        <w:ind w:firstLine="411" w:firstLineChars="196"/>
        <w:rPr>
          <w:rFonts w:ascii="宋体" w:hAnsi="宋体"/>
          <w:color w:val="000000" w:themeColor="text1"/>
          <w:sz w:val="24"/>
        </w:rPr>
      </w:pPr>
      <w:r>
        <w:rPr>
          <w:rFonts w:ascii="Times New Roman" w:hAnsi="Times New Roman" w:cs="Times New Roman"/>
          <w:color w:val="000000" w:themeColor="text1"/>
        </w:rPr>
        <w:t>1</w:t>
      </w:r>
      <w:r>
        <w:rPr>
          <w:rFonts w:hint="eastAsia" w:ascii="Times New Roman" w:hAnsi="Times New Roman" w:cs="宋体"/>
          <w:color w:val="000000" w:themeColor="text1"/>
        </w:rPr>
        <w:t>．</w:t>
      </w:r>
      <w:r>
        <w:rPr>
          <w:rFonts w:hint="eastAsia"/>
          <w:color w:val="000000" w:themeColor="text1"/>
        </w:rPr>
        <w:t>中外文化比较源头对比</w:t>
      </w:r>
      <w:r>
        <w:rPr>
          <w:rFonts w:hint="eastAsia" w:ascii="Times New Roman" w:hAnsi="Times New Roman" w:cs="宋体"/>
          <w:color w:val="000000" w:themeColor="text1"/>
        </w:rPr>
        <w:t>（4学时）</w:t>
      </w:r>
      <w:r>
        <w:rPr>
          <w:rFonts w:hint="eastAsia" w:ascii="宋体" w:hAnsi="宋体"/>
          <w:color w:val="000000" w:themeColor="text1"/>
          <w:sz w:val="24"/>
        </w:rPr>
        <w:t xml:space="preserve">  </w:t>
      </w:r>
    </w:p>
    <w:p>
      <w:pPr>
        <w:adjustRightInd w:val="0"/>
        <w:spacing w:line="360" w:lineRule="auto"/>
        <w:ind w:firstLine="420" w:firstLineChars="200"/>
        <w:rPr>
          <w:rFonts w:ascii="Times New Roman" w:hAnsi="Times New Roman" w:cs="宋体"/>
          <w:color w:val="000000" w:themeColor="text1"/>
        </w:rPr>
      </w:pPr>
      <w:r>
        <w:rPr>
          <w:rFonts w:hint="eastAsia" w:ascii="Times New Roman" w:hAnsi="Times New Roman" w:cs="宋体"/>
          <w:color w:val="000000" w:themeColor="text1"/>
        </w:rPr>
        <w:t>了解中外文化</w:t>
      </w:r>
      <w:r>
        <w:rPr>
          <w:rFonts w:hint="eastAsia" w:ascii="宋体" w:hAnsi="宋体"/>
          <w:color w:val="000000" w:themeColor="text1"/>
          <w:sz w:val="24"/>
        </w:rPr>
        <w:t>比较的学派和研究方法</w:t>
      </w:r>
      <w:r>
        <w:rPr>
          <w:rFonts w:hint="eastAsia" w:ascii="Times New Roman" w:hAnsi="Times New Roman" w:cs="宋体"/>
          <w:color w:val="000000" w:themeColor="text1"/>
        </w:rPr>
        <w:t>；理解</w:t>
      </w:r>
      <w:r>
        <w:rPr>
          <w:rFonts w:hint="eastAsia" w:ascii="宋体" w:hAnsi="宋体"/>
          <w:color w:val="000000" w:themeColor="text1"/>
          <w:sz w:val="24"/>
        </w:rPr>
        <w:t>比较文化与一般文化研究的共性与其自身学科的独特性</w:t>
      </w:r>
      <w:r>
        <w:rPr>
          <w:rFonts w:hint="eastAsia" w:ascii="Times New Roman" w:hAnsi="Times New Roman" w:cs="宋体"/>
          <w:color w:val="000000" w:themeColor="text1"/>
        </w:rPr>
        <w:t>；掌握</w:t>
      </w:r>
      <w:r>
        <w:rPr>
          <w:rFonts w:hint="eastAsia" w:ascii="宋体" w:hAnsi="宋体"/>
          <w:color w:val="000000" w:themeColor="text1"/>
          <w:sz w:val="24"/>
        </w:rPr>
        <w:t>中外比较文化在起源上的差异</w:t>
      </w:r>
      <w:r>
        <w:rPr>
          <w:rFonts w:hint="eastAsia" w:ascii="Times New Roman" w:hAnsi="Times New Roman" w:cs="宋体"/>
          <w:color w:val="000000" w:themeColor="text1"/>
        </w:rPr>
        <w:t>。</w:t>
      </w:r>
    </w:p>
    <w:p>
      <w:pPr>
        <w:adjustRightInd w:val="0"/>
        <w:spacing w:line="360" w:lineRule="auto"/>
        <w:ind w:firstLine="420" w:firstLineChars="200"/>
        <w:rPr>
          <w:rFonts w:ascii="Times New Roman" w:hAnsi="Times New Roman" w:cs="宋体"/>
          <w:color w:val="000000" w:themeColor="text1"/>
        </w:rPr>
      </w:pPr>
      <w:r>
        <w:rPr>
          <w:rFonts w:hint="eastAsia" w:ascii="Times New Roman" w:hAnsi="Times New Roman" w:cs="宋体"/>
          <w:color w:val="000000" w:themeColor="text1"/>
        </w:rPr>
        <w:t xml:space="preserve"> </w:t>
      </w:r>
      <w:r>
        <w:rPr>
          <w:rFonts w:hint="eastAsia"/>
          <w:color w:val="000000" w:themeColor="text1"/>
        </w:rPr>
        <w:t>重点支持毕业要求指标点8</w:t>
      </w:r>
    </w:p>
    <w:p>
      <w:pPr>
        <w:adjustRightInd w:val="0"/>
        <w:spacing w:line="360" w:lineRule="auto"/>
        <w:ind w:firstLine="420" w:firstLineChars="200"/>
        <w:rPr>
          <w:rFonts w:ascii="宋体" w:hAnsi="宋体"/>
          <w:color w:val="000000" w:themeColor="text1"/>
        </w:rPr>
      </w:pPr>
      <w:r>
        <w:rPr>
          <w:rFonts w:ascii="Times New Roman" w:hAnsi="Times New Roman" w:cs="Times New Roman"/>
          <w:color w:val="000000" w:themeColor="text1"/>
        </w:rPr>
        <w:t>2</w:t>
      </w:r>
      <w:r>
        <w:rPr>
          <w:rFonts w:hint="eastAsia" w:ascii="Times New Roman" w:hAnsi="Times New Roman" w:cs="宋体"/>
          <w:color w:val="000000" w:themeColor="text1"/>
        </w:rPr>
        <w:t>．</w:t>
      </w:r>
      <w:r>
        <w:rPr>
          <w:rFonts w:hint="eastAsia" w:ascii="宋体" w:hAnsi="宋体"/>
          <w:color w:val="000000" w:themeColor="text1"/>
        </w:rPr>
        <w:t xml:space="preserve">中外神话比较  </w:t>
      </w:r>
      <w:r>
        <w:rPr>
          <w:rFonts w:hint="eastAsia" w:ascii="Times New Roman" w:hAnsi="Times New Roman" w:cs="宋体"/>
          <w:color w:val="000000" w:themeColor="text1"/>
        </w:rPr>
        <w:t>（</w:t>
      </w:r>
      <w:r>
        <w:rPr>
          <w:rFonts w:hint="eastAsia" w:ascii="Times New Roman" w:hAnsi="Times New Roman" w:cs="宋体"/>
          <w:bCs/>
          <w:color w:val="000000" w:themeColor="text1"/>
        </w:rPr>
        <w:t>4</w:t>
      </w:r>
      <w:r>
        <w:rPr>
          <w:rFonts w:hint="eastAsia" w:ascii="Times New Roman" w:hAnsi="Times New Roman" w:cs="宋体"/>
          <w:color w:val="000000" w:themeColor="text1"/>
        </w:rPr>
        <w:t>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神话起源创作的共同特征。了解中外神话内容的丰富性及重合、类似的原因，理解因精神信仰、自然观、地域、发展过程等等的不同带来的中外神话内容的差异，掌握中外神话如何得以保存、流传和对后世的影响力的异同。</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宋体" w:hAnsi="宋体"/>
          <w:color w:val="000000" w:themeColor="text1"/>
        </w:rPr>
      </w:pPr>
      <w:r>
        <w:rPr>
          <w:rFonts w:hint="eastAsia" w:ascii="Times New Roman" w:hAnsi="Times New Roman" w:cs="宋体"/>
          <w:color w:val="000000" w:themeColor="text1"/>
        </w:rPr>
        <w:t>3．</w:t>
      </w:r>
      <w:r>
        <w:rPr>
          <w:rFonts w:hint="eastAsia" w:ascii="宋体" w:hAnsi="宋体"/>
          <w:color w:val="000000" w:themeColor="text1"/>
        </w:rPr>
        <w:t>中外思维模式和伦理精神比较（2学时）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思维模式和伦理精神共同特征。了解中外思维模式和伦理精神内容的丰富性及重合、类似的原因，理解因精神信仰、自然观、地域、发展过程等等的不同带来的中外思维模式和伦理精神内容的差异，掌握中外思维模式和伦理精神如何得以保存、流传和对后世的影响力的异同。</w:t>
      </w:r>
    </w:p>
    <w:p>
      <w:pPr>
        <w:adjustRightInd w:val="0"/>
        <w:spacing w:line="360" w:lineRule="auto"/>
        <w:ind w:firstLine="420" w:firstLineChars="200"/>
        <w:rPr>
          <w:rFonts w:ascii="Times New Roman" w:hAnsi="Times New Roman" w:cs="宋体"/>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宋体" w:hAnsi="宋体"/>
          <w:color w:val="000000" w:themeColor="text1"/>
        </w:rPr>
      </w:pPr>
      <w:r>
        <w:rPr>
          <w:rFonts w:hint="eastAsia" w:ascii="Times New Roman" w:hAnsi="Times New Roman" w:cs="宋体"/>
          <w:color w:val="000000" w:themeColor="text1"/>
        </w:rPr>
        <w:t>4.</w:t>
      </w:r>
      <w:r>
        <w:rPr>
          <w:rFonts w:hint="eastAsia" w:ascii="宋体" w:hAnsi="宋体"/>
          <w:color w:val="000000" w:themeColor="text1"/>
        </w:rPr>
        <w:t xml:space="preserve"> 中外宗教</w:t>
      </w:r>
      <w:r>
        <w:rPr>
          <w:rFonts w:hint="eastAsia"/>
          <w:color w:val="000000" w:themeColor="text1"/>
        </w:rPr>
        <w:t>文化</w:t>
      </w:r>
      <w:r>
        <w:rPr>
          <w:rFonts w:hint="eastAsia" w:ascii="宋体" w:hAnsi="宋体"/>
          <w:color w:val="000000" w:themeColor="text1"/>
        </w:rPr>
        <w:t>比较（2学时）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了解中外宗教</w:t>
      </w:r>
      <w:r>
        <w:rPr>
          <w:rFonts w:hint="eastAsia"/>
          <w:color w:val="000000" w:themeColor="text1"/>
        </w:rPr>
        <w:t>文化</w:t>
      </w:r>
      <w:r>
        <w:rPr>
          <w:rFonts w:hint="eastAsia" w:ascii="宋体" w:hAnsi="宋体"/>
          <w:color w:val="000000" w:themeColor="text1"/>
        </w:rPr>
        <w:t>的共同特征。了解中外宗教</w:t>
      </w:r>
      <w:r>
        <w:rPr>
          <w:rFonts w:hint="eastAsia"/>
          <w:color w:val="000000" w:themeColor="text1"/>
        </w:rPr>
        <w:t>文化</w:t>
      </w:r>
      <w:r>
        <w:rPr>
          <w:rFonts w:hint="eastAsia" w:ascii="宋体" w:hAnsi="宋体"/>
          <w:color w:val="000000" w:themeColor="text1"/>
        </w:rPr>
        <w:t>内容的丰富性及重合、类似的原因，理解因精神信仰、自然观、地域、发展过程等等的不同带来的中外宗教</w:t>
      </w:r>
      <w:r>
        <w:rPr>
          <w:rFonts w:hint="eastAsia"/>
          <w:color w:val="000000" w:themeColor="text1"/>
        </w:rPr>
        <w:t>文化</w:t>
      </w:r>
      <w:r>
        <w:rPr>
          <w:rFonts w:hint="eastAsia" w:ascii="宋体" w:hAnsi="宋体"/>
          <w:color w:val="000000" w:themeColor="text1"/>
        </w:rPr>
        <w:t>内容的差异，掌握中外宗教</w:t>
      </w:r>
      <w:r>
        <w:rPr>
          <w:rFonts w:hint="eastAsia"/>
          <w:color w:val="000000" w:themeColor="text1"/>
        </w:rPr>
        <w:t>文化</w:t>
      </w:r>
      <w:r>
        <w:rPr>
          <w:rFonts w:hint="eastAsia" w:ascii="宋体" w:hAnsi="宋体"/>
          <w:color w:val="000000" w:themeColor="text1"/>
        </w:rPr>
        <w:t>如何得以保存、流传和对后世的影响力的异同。</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宋体" w:hAnsi="宋体"/>
          <w:color w:val="000000" w:themeColor="text1"/>
        </w:rPr>
      </w:pPr>
      <w:r>
        <w:rPr>
          <w:rFonts w:hint="eastAsia" w:ascii="Times New Roman" w:hAnsi="Times New Roman" w:cs="宋体"/>
          <w:color w:val="000000" w:themeColor="text1"/>
        </w:rPr>
        <w:t>5.</w:t>
      </w:r>
      <w:r>
        <w:rPr>
          <w:rFonts w:hint="eastAsia"/>
          <w:color w:val="000000" w:themeColor="text1"/>
        </w:rPr>
        <w:t xml:space="preserve"> 中外文学比较</w:t>
      </w:r>
      <w:r>
        <w:rPr>
          <w:rFonts w:hint="eastAsia" w:ascii="宋体" w:hAnsi="宋体"/>
          <w:color w:val="000000" w:themeColor="text1"/>
        </w:rPr>
        <w:t>（6学时）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w:t>
      </w:r>
      <w:r>
        <w:rPr>
          <w:rFonts w:hint="eastAsia"/>
          <w:color w:val="000000" w:themeColor="text1"/>
        </w:rPr>
        <w:t>文学</w:t>
      </w:r>
      <w:r>
        <w:rPr>
          <w:rFonts w:hint="eastAsia" w:ascii="宋体" w:hAnsi="宋体"/>
          <w:color w:val="000000" w:themeColor="text1"/>
        </w:rPr>
        <w:t>起源创作的共同特征。了解中外</w:t>
      </w:r>
      <w:r>
        <w:rPr>
          <w:rFonts w:hint="eastAsia"/>
          <w:color w:val="000000" w:themeColor="text1"/>
        </w:rPr>
        <w:t>文学</w:t>
      </w:r>
      <w:r>
        <w:rPr>
          <w:rFonts w:hint="eastAsia" w:ascii="宋体" w:hAnsi="宋体"/>
          <w:color w:val="000000" w:themeColor="text1"/>
        </w:rPr>
        <w:t>内容的丰富性及重合、类似的原因，理解因精神信仰、自然观、地域、发展过程等等的不同带来的中外</w:t>
      </w:r>
      <w:r>
        <w:rPr>
          <w:rFonts w:hint="eastAsia"/>
          <w:color w:val="000000" w:themeColor="text1"/>
        </w:rPr>
        <w:t>文学</w:t>
      </w:r>
      <w:r>
        <w:rPr>
          <w:rFonts w:hint="eastAsia" w:ascii="宋体" w:hAnsi="宋体"/>
          <w:color w:val="000000" w:themeColor="text1"/>
        </w:rPr>
        <w:t>内容的差异，掌握中外</w:t>
      </w:r>
      <w:r>
        <w:rPr>
          <w:rFonts w:hint="eastAsia"/>
          <w:color w:val="000000" w:themeColor="text1"/>
        </w:rPr>
        <w:t>文学</w:t>
      </w:r>
      <w:r>
        <w:rPr>
          <w:rFonts w:hint="eastAsia" w:ascii="宋体" w:hAnsi="宋体"/>
          <w:color w:val="000000" w:themeColor="text1"/>
        </w:rPr>
        <w:t>如何得以保存、流传和对后世的影响力的异同。</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宋体" w:hAnsi="宋体"/>
          <w:color w:val="000000" w:themeColor="text1"/>
        </w:rPr>
      </w:pPr>
      <w:r>
        <w:rPr>
          <w:rFonts w:hint="eastAsia"/>
          <w:color w:val="000000" w:themeColor="text1"/>
        </w:rPr>
        <w:t>6.</w:t>
      </w:r>
      <w:r>
        <w:rPr>
          <w:rFonts w:hint="eastAsia" w:ascii="宋体" w:hAnsi="宋体"/>
          <w:color w:val="000000" w:themeColor="text1"/>
        </w:rPr>
        <w:t xml:space="preserve"> 中外艺术精神比较（4学时）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艺术精神起源创作的共同特征。了解中外艺术精神内容的丰富性及重合、类似的原因，理解因精神信仰、自然观、地域、发展过程等等的不同带来的中外艺术精神内容的差异，掌握中外艺术精神如何得以保存、流传和对后世的影响力的异同。</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Times New Roman" w:hAnsi="Times New Roman" w:cs="宋体"/>
          <w:color w:val="000000" w:themeColor="text1"/>
        </w:rPr>
      </w:pPr>
      <w:r>
        <w:rPr>
          <w:rFonts w:hint="eastAsia" w:ascii="宋体" w:hAnsi="宋体"/>
          <w:color w:val="000000" w:themeColor="text1"/>
        </w:rPr>
        <w:t>7.</w:t>
      </w:r>
      <w:r>
        <w:rPr>
          <w:rFonts w:hint="eastAsia" w:ascii="宋体" w:hAnsi="宋体"/>
          <w:color w:val="000000" w:themeColor="text1"/>
          <w:sz w:val="24"/>
        </w:rPr>
        <w:t xml:space="preserve"> 中外戏剧比较</w:t>
      </w:r>
      <w:r>
        <w:rPr>
          <w:rFonts w:hint="eastAsia" w:ascii="Times New Roman" w:hAnsi="Times New Roman" w:cs="宋体"/>
          <w:color w:val="000000" w:themeColor="text1"/>
        </w:rPr>
        <w:t>（</w:t>
      </w:r>
      <w:r>
        <w:rPr>
          <w:rFonts w:hint="eastAsia" w:ascii="Times New Roman" w:hAnsi="Times New Roman" w:cs="宋体"/>
          <w:bCs/>
          <w:color w:val="000000" w:themeColor="text1"/>
        </w:rPr>
        <w:t>4</w:t>
      </w:r>
      <w:r>
        <w:rPr>
          <w:rFonts w:hint="eastAsia" w:ascii="Times New Roman" w:hAnsi="Times New Roman" w:cs="宋体"/>
          <w:color w:val="000000" w:themeColor="text1"/>
        </w:rPr>
        <w:t>学时）</w:t>
      </w:r>
    </w:p>
    <w:p>
      <w:pPr>
        <w:adjustRightInd w:val="0"/>
        <w:spacing w:line="360" w:lineRule="auto"/>
        <w:ind w:firstLine="420" w:firstLineChars="200"/>
        <w:rPr>
          <w:rFonts w:ascii="宋体" w:hAnsi="宋体"/>
          <w:color w:val="000000" w:themeColor="text1"/>
        </w:rPr>
      </w:pPr>
      <w:r>
        <w:rPr>
          <w:rFonts w:hint="eastAsia" w:ascii="宋体" w:hAnsi="宋体"/>
          <w:color w:val="000000" w:themeColor="text1"/>
        </w:rPr>
        <w:t>了解中外戏剧产生的“同”与形成基础的“异”，由此带来的艺术旨向、审美趣味的不同；了解中外不同的悲剧观及所带来的悲剧判断标准的差异，能发现、比较中外悲剧情节结构、人物形象的各自特点，能总结中外悲剧的不同效果。理解中外戏剧剧本内容、戏剧结构、表演形式、舞台美术各有所重、各有特色，通过比较，掌握在历史发展中中外戏剧形成的不同文化品格。</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rFonts w:ascii="Times New Roman" w:hAnsi="Times New Roman" w:cs="宋体"/>
          <w:color w:val="000000" w:themeColor="text1"/>
        </w:rPr>
      </w:pPr>
      <w:r>
        <w:rPr>
          <w:rFonts w:hint="eastAsia" w:ascii="宋体" w:hAnsi="宋体"/>
          <w:color w:val="000000" w:themeColor="text1"/>
        </w:rPr>
        <w:t>8.</w:t>
      </w:r>
      <w:r>
        <w:rPr>
          <w:rFonts w:hint="eastAsia"/>
          <w:color w:val="000000" w:themeColor="text1"/>
        </w:rPr>
        <w:t xml:space="preserve"> 中外习俗文化比较</w:t>
      </w:r>
      <w:r>
        <w:rPr>
          <w:rFonts w:hint="eastAsia" w:ascii="宋体" w:hAnsi="宋体"/>
          <w:color w:val="000000" w:themeColor="text1"/>
        </w:rPr>
        <w:t>（2学时）</w:t>
      </w:r>
    </w:p>
    <w:p>
      <w:pPr>
        <w:adjustRightInd w:val="0"/>
        <w:spacing w:line="360" w:lineRule="auto"/>
        <w:ind w:firstLine="420" w:firstLineChars="200"/>
        <w:rPr>
          <w:rFonts w:ascii="Times New Roman" w:hAnsi="Times New Roman" w:cs="Times New Roman"/>
          <w:color w:val="000000" w:themeColor="text1"/>
        </w:rPr>
      </w:pPr>
      <w:r>
        <w:rPr>
          <w:rFonts w:hint="eastAsia" w:ascii="宋体" w:hAnsi="宋体"/>
          <w:color w:val="000000" w:themeColor="text1"/>
        </w:rPr>
        <w:t>了解中外习俗文化的共同特征。了解中外习俗文化内容的丰富性及重合、类似的原因，理解因精神信仰、自然观、地域、发展过程等等的不同带来的中外习俗文化内容的差异，掌握中外习俗文化如何得以保存、流传和对后世的影响力的异同。</w:t>
      </w:r>
    </w:p>
    <w:p>
      <w:pPr>
        <w:adjustRightInd w:val="0"/>
        <w:spacing w:line="360" w:lineRule="auto"/>
        <w:ind w:firstLine="420" w:firstLineChars="200"/>
        <w:rPr>
          <w:color w:val="000000" w:themeColor="text1"/>
        </w:rPr>
      </w:pPr>
      <w:r>
        <w:rPr>
          <w:rFonts w:hint="eastAsia"/>
          <w:color w:val="000000" w:themeColor="text1"/>
        </w:rPr>
        <w:t>重点支持毕业要求指标点8</w:t>
      </w:r>
    </w:p>
    <w:p>
      <w:pPr>
        <w:adjustRightInd w:val="0"/>
        <w:spacing w:line="360" w:lineRule="auto"/>
        <w:ind w:firstLine="420" w:firstLineChars="200"/>
        <w:rPr>
          <w:color w:val="000000" w:themeColor="text1"/>
        </w:rPr>
      </w:pPr>
    </w:p>
    <w:p>
      <w:pPr>
        <w:spacing w:line="360" w:lineRule="auto"/>
        <w:ind w:firstLine="420" w:firstLineChars="200"/>
        <w:rPr>
          <w:rFonts w:ascii="Times New Roman" w:hAnsi="Times New Roman" w:cs="Times New Roman"/>
          <w:b/>
          <w:bCs/>
          <w:color w:val="000000" w:themeColor="text1"/>
        </w:rPr>
      </w:pPr>
      <w:r>
        <w:rPr>
          <w:rFonts w:hint="eastAsia" w:ascii="Times New Roman" w:hAnsi="Times New Roman" w:cs="宋体"/>
          <w:b/>
          <w:bCs/>
          <w:color w:val="000000" w:themeColor="text1"/>
        </w:rPr>
        <w:t>三、教学方法</w:t>
      </w:r>
    </w:p>
    <w:p>
      <w:pPr>
        <w:adjustRightInd w:val="0"/>
        <w:spacing w:line="360" w:lineRule="auto"/>
        <w:ind w:firstLine="420"/>
        <w:rPr>
          <w:rFonts w:ascii="宋体" w:hAnsi="宋体" w:cs="宋体"/>
          <w:color w:val="000000" w:themeColor="text1"/>
          <w:kern w:val="0"/>
          <w:sz w:val="24"/>
        </w:rPr>
      </w:pPr>
      <w:r>
        <w:rPr>
          <w:rFonts w:hint="eastAsia" w:ascii="宋体" w:hAnsi="宋体" w:cs="宋体"/>
          <w:color w:val="000000" w:themeColor="text1"/>
          <w:kern w:val="0"/>
          <w:sz w:val="24"/>
        </w:rPr>
        <w:t>教师授课为主，介绍学科体系，介绍中国学者中外文化比较研究的典范文本，突出个案分析，指导学生阅中外文化比较读研究及课堂教学中论及的作品，指导学生尝试对某种文化现象作比较研究，以认识中外文化比较的基本原理，培养进一步的自学能力。</w:t>
      </w:r>
    </w:p>
    <w:p>
      <w:pPr>
        <w:spacing w:line="360" w:lineRule="auto"/>
        <w:ind w:firstLine="405"/>
        <w:rPr>
          <w:rFonts w:ascii="宋体" w:hAnsi="宋体"/>
          <w:color w:val="000000" w:themeColor="text1"/>
        </w:rPr>
      </w:pPr>
      <w:r>
        <w:rPr>
          <w:rFonts w:hint="eastAsia" w:ascii="宋体" w:hAnsi="宋体"/>
          <w:color w:val="000000" w:themeColor="text1"/>
        </w:rPr>
        <w:t>重点支持毕业要求指标点8，10</w:t>
      </w:r>
    </w:p>
    <w:p>
      <w:pPr>
        <w:spacing w:line="360" w:lineRule="auto"/>
        <w:ind w:firstLine="405"/>
        <w:rPr>
          <w:rFonts w:ascii="宋体" w:hAnsi="宋体"/>
          <w:color w:val="000000" w:themeColor="text1"/>
        </w:rPr>
      </w:pPr>
    </w:p>
    <w:p>
      <w:pPr>
        <w:spacing w:line="360" w:lineRule="auto"/>
        <w:ind w:firstLine="420" w:firstLineChars="200"/>
        <w:rPr>
          <w:rFonts w:ascii="Times New Roman" w:hAnsi="Times New Roman" w:cs="宋体"/>
          <w:b/>
          <w:bCs/>
          <w:color w:val="000000" w:themeColor="text1"/>
        </w:rPr>
      </w:pPr>
      <w:r>
        <w:rPr>
          <w:rFonts w:hint="eastAsia" w:ascii="Times New Roman" w:hAnsi="Times New Roman" w:cs="宋体"/>
          <w:b/>
          <w:bCs/>
          <w:color w:val="000000" w:themeColor="text1"/>
        </w:rPr>
        <w:t>四、课内外教学环节教学安排及基本要求</w:t>
      </w:r>
    </w:p>
    <w:p>
      <w:pPr>
        <w:adjustRightInd w:val="0"/>
        <w:spacing w:line="360" w:lineRule="auto"/>
        <w:jc w:val="center"/>
        <w:rPr>
          <w:rFonts w:ascii="Times New Roman" w:hAnsi="Times New Roman" w:cs="Times New Roman"/>
          <w:b/>
          <w:bCs/>
          <w:color w:val="000000" w:themeColor="text1"/>
        </w:rPr>
      </w:pPr>
      <w:r>
        <w:rPr>
          <w:rFonts w:hint="eastAsia" w:ascii="Times New Roman" w:hAnsi="Times New Roman" w:cs="宋体"/>
          <w:b/>
          <w:bCs/>
          <w:color w:val="000000" w:themeColor="text1"/>
        </w:rPr>
        <w:t>表</w:t>
      </w:r>
      <w:r>
        <w:rPr>
          <w:rFonts w:ascii="Times New Roman" w:hAnsi="Times New Roman" w:cs="Times New Roman"/>
          <w:b/>
          <w:bCs/>
          <w:color w:val="000000" w:themeColor="text1"/>
        </w:rPr>
        <w:t xml:space="preserve">4-1 </w:t>
      </w:r>
      <w:r>
        <w:rPr>
          <w:rFonts w:hint="eastAsia" w:ascii="Times New Roman" w:hAnsi="Times New Roman" w:cs="宋体"/>
          <w:b/>
          <w:bCs/>
          <w:color w:val="000000" w:themeColor="text1"/>
        </w:rPr>
        <w:t>课内外教学环节及学时分配表</w:t>
      </w:r>
    </w:p>
    <w:tbl>
      <w:tblPr>
        <w:tblStyle w:val="30"/>
        <w:tblW w:w="79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3280"/>
        <w:gridCol w:w="708"/>
        <w:gridCol w:w="897"/>
        <w:gridCol w:w="947"/>
        <w:gridCol w:w="847"/>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511" w:type="dxa"/>
            <w:vMerge w:val="restart"/>
            <w:tcMar>
              <w:left w:w="28" w:type="dxa"/>
              <w:right w:w="28" w:type="dxa"/>
            </w:tcMar>
            <w:vAlign w:val="center"/>
          </w:tcPr>
          <w:p>
            <w:pPr>
              <w:spacing w:line="360" w:lineRule="auto"/>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序号</w:t>
            </w:r>
          </w:p>
        </w:tc>
        <w:tc>
          <w:tcPr>
            <w:tcW w:w="3280" w:type="dxa"/>
            <w:vMerge w:val="restart"/>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课程内容</w:t>
            </w:r>
          </w:p>
        </w:tc>
        <w:tc>
          <w:tcPr>
            <w:tcW w:w="3399" w:type="dxa"/>
            <w:gridSpan w:val="4"/>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课内学时</w:t>
            </w:r>
          </w:p>
        </w:tc>
        <w:tc>
          <w:tcPr>
            <w:tcW w:w="760" w:type="dxa"/>
            <w:vMerge w:val="restart"/>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课外</w:t>
            </w:r>
          </w:p>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blHeader/>
          <w:jc w:val="center"/>
        </w:trPr>
        <w:tc>
          <w:tcPr>
            <w:tcW w:w="511" w:type="dxa"/>
            <w:vMerge w:val="continue"/>
            <w:tcMar>
              <w:left w:w="28" w:type="dxa"/>
              <w:right w:w="28" w:type="dxa"/>
            </w:tcMar>
            <w:vAlign w:val="center"/>
          </w:tcPr>
          <w:p>
            <w:pPr>
              <w:spacing w:line="360" w:lineRule="auto"/>
              <w:rPr>
                <w:rFonts w:ascii="Times New Roman" w:hAnsi="Times New Roman" w:cs="Times New Roman"/>
                <w:color w:val="000000" w:themeColor="text1"/>
                <w:sz w:val="18"/>
                <w:szCs w:val="18"/>
              </w:rPr>
            </w:pPr>
          </w:p>
        </w:tc>
        <w:tc>
          <w:tcPr>
            <w:tcW w:w="3280" w:type="dxa"/>
            <w:vMerge w:val="continue"/>
            <w:tcMar>
              <w:left w:w="28" w:type="dxa"/>
              <w:right w:w="28" w:type="dxa"/>
            </w:tcMar>
            <w:vAlign w:val="center"/>
          </w:tcPr>
          <w:p>
            <w:pPr>
              <w:spacing w:line="360" w:lineRule="auto"/>
              <w:rPr>
                <w:rFonts w:ascii="Times New Roman" w:hAnsi="Times New Roman" w:cs="Times New Roman"/>
                <w:color w:val="000000" w:themeColor="text1"/>
                <w:sz w:val="18"/>
                <w:szCs w:val="18"/>
              </w:rPr>
            </w:pPr>
          </w:p>
        </w:tc>
        <w:tc>
          <w:tcPr>
            <w:tcW w:w="708"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理论</w:t>
            </w:r>
          </w:p>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学时</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习题</w:t>
            </w:r>
          </w:p>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学时</w:t>
            </w:r>
          </w:p>
        </w:tc>
        <w:tc>
          <w:tcPr>
            <w:tcW w:w="947"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研讨</w:t>
            </w:r>
          </w:p>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学时</w:t>
            </w:r>
          </w:p>
        </w:tc>
        <w:tc>
          <w:tcPr>
            <w:tcW w:w="8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合计</w:t>
            </w:r>
          </w:p>
        </w:tc>
        <w:tc>
          <w:tcPr>
            <w:tcW w:w="760" w:type="dxa"/>
            <w:vMerge w:val="continue"/>
            <w:tcMar>
              <w:left w:w="28" w:type="dxa"/>
              <w:right w:w="28" w:type="dxa"/>
            </w:tcMar>
            <w:vAlign w:val="center"/>
          </w:tcPr>
          <w:p>
            <w:pPr>
              <w:spacing w:line="360" w:lineRule="auto"/>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什么是比较文化</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广义的比较文化</w:t>
            </w:r>
            <w:r>
              <w:rPr>
                <w:rFonts w:ascii="宋体" w:hAnsi="宋体"/>
                <w:color w:val="000000" w:themeColor="text1"/>
              </w:rPr>
              <w:t xml:space="preserve"> </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狭义的比较文化</w:t>
            </w:r>
            <w:r>
              <w:rPr>
                <w:rFonts w:ascii="宋体" w:hAnsi="宋体"/>
                <w:color w:val="000000" w:themeColor="text1"/>
              </w:rPr>
              <w:t xml:space="preserve"> </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中外文化比较的产生</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中外文化比较研究的对象</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中外文化比较的研究意义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中外文化比较的学派</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中外文化源头对比</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中外神话比较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中外神话的定义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中外神话创作特点的共同特征</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中外神话内容的异同及其原因</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创世神话</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人的起源神话</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征服自然的神话</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战争的神话</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歌颂智慧、意志、表达美好愿望的神话</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关于死亡与地狱的神话</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中外神话流传体系的区别</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r>
              <w:rPr>
                <w:rFonts w:hint="eastAsia" w:ascii="Times New Roman" w:hAnsi="Times New Roman" w:cs="宋体"/>
                <w:color w:val="000000" w:themeColor="text1"/>
                <w:sz w:val="18"/>
                <w:szCs w:val="18"/>
              </w:rPr>
              <w:t>3</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中外思维模式和伦理精神比较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中国思维模式和伦理精神的渊源</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西方思维模式和伦理精神的起源</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中外时空观念的差异</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性善论与性恶论——中外伦理精神的重要分歧</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4</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中外宗教</w:t>
            </w:r>
            <w:r>
              <w:rPr>
                <w:rFonts w:hint="eastAsia"/>
                <w:color w:val="000000" w:themeColor="text1"/>
              </w:rPr>
              <w:t>文化</w:t>
            </w:r>
            <w:r>
              <w:rPr>
                <w:rFonts w:hint="eastAsia" w:ascii="宋体" w:hAnsi="宋体"/>
                <w:color w:val="000000" w:themeColor="text1"/>
              </w:rPr>
              <w:t>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中外宗教的定义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中外宗教</w:t>
            </w:r>
            <w:r>
              <w:rPr>
                <w:rFonts w:hint="eastAsia"/>
                <w:color w:val="000000" w:themeColor="text1"/>
              </w:rPr>
              <w:t>文化</w:t>
            </w:r>
            <w:r>
              <w:rPr>
                <w:rFonts w:hint="eastAsia" w:ascii="宋体" w:hAnsi="宋体"/>
                <w:color w:val="000000" w:themeColor="text1"/>
              </w:rPr>
              <w:t>创作特点的共同特征</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中外宗教</w:t>
            </w:r>
            <w:r>
              <w:rPr>
                <w:rFonts w:hint="eastAsia"/>
                <w:color w:val="000000" w:themeColor="text1"/>
              </w:rPr>
              <w:t>文化</w:t>
            </w:r>
            <w:r>
              <w:rPr>
                <w:rFonts w:hint="eastAsia" w:ascii="宋体" w:hAnsi="宋体"/>
                <w:color w:val="000000" w:themeColor="text1"/>
              </w:rPr>
              <w:t>内容的异同及其原因</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中外宗教文化流传的区别</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5</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中外文学比较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中外文学的定义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中外文学创作特点的共同特征</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中外文学内容的异同及其原因</w:t>
            </w:r>
          </w:p>
          <w:p>
            <w:pPr>
              <w:tabs>
                <w:tab w:val="left" w:pos="2880"/>
              </w:tabs>
              <w:adjustRightInd w:val="0"/>
              <w:snapToGrid w:val="0"/>
              <w:spacing w:line="360" w:lineRule="auto"/>
              <w:ind w:left="794"/>
              <w:rPr>
                <w:rFonts w:ascii="宋体" w:hAnsi="宋体"/>
                <w:color w:val="000000" w:themeColor="text1"/>
              </w:rPr>
            </w:pP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6</w:t>
            </w:r>
          </w:p>
        </w:tc>
        <w:tc>
          <w:tcPr>
            <w:tcW w:w="3280" w:type="dxa"/>
            <w:tcMar>
              <w:left w:w="28" w:type="dxa"/>
              <w:right w:w="28" w:type="dxa"/>
            </w:tcMa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中外艺术精神比较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中外艺术精神的定义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中外艺术创作特点的共同特征</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中外艺术表现内容的异同及其原因</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4"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7</w:t>
            </w:r>
          </w:p>
        </w:tc>
        <w:tc>
          <w:tcPr>
            <w:tcW w:w="3280" w:type="dxa"/>
            <w:tcMar>
              <w:left w:w="28" w:type="dxa"/>
              <w:right w:w="28" w:type="dxa"/>
            </w:tcMar>
            <w:vAlign w:val="cente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中外戏剧比较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中外戏剧的渊源</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西方戏剧的起源</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悲剧——古希腊戏剧中重要的一幕</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中国戏剧的起源</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谐谑滑稽——中国古代表演中的重要元素</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中外悲剧比较</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中外悲剧观的差异</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中外悲剧中的冲突</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中外悲剧中的人物</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中外悲剧的结构</w:t>
            </w:r>
          </w:p>
          <w:p>
            <w:pPr>
              <w:numPr>
                <w:ilvl w:val="2"/>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中外悲剧的效果</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中外戏剧艺术技法综合程度比较</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0"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8</w:t>
            </w:r>
          </w:p>
        </w:tc>
        <w:tc>
          <w:tcPr>
            <w:tcW w:w="3280" w:type="dxa"/>
            <w:tcMar>
              <w:left w:w="28" w:type="dxa"/>
              <w:right w:w="28" w:type="dxa"/>
            </w:tcMar>
            <w:vAlign w:val="center"/>
          </w:tcPr>
          <w:p>
            <w:pPr>
              <w:numPr>
                <w:ilvl w:val="0"/>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中外习俗文化</w:t>
            </w:r>
            <w:r>
              <w:rPr>
                <w:rFonts w:hint="eastAsia"/>
                <w:color w:val="000000" w:themeColor="text1"/>
              </w:rPr>
              <w:t>文化</w:t>
            </w:r>
            <w:r>
              <w:rPr>
                <w:rFonts w:hint="eastAsia" w:ascii="宋体" w:hAnsi="宋体"/>
                <w:color w:val="000000" w:themeColor="text1"/>
              </w:rPr>
              <w:t>比较</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中外习俗文化的定义</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中外习俗文化的共同特征</w:t>
            </w:r>
          </w:p>
          <w:p>
            <w:pPr>
              <w:numPr>
                <w:ilvl w:val="1"/>
                <w:numId w:val="10"/>
              </w:numPr>
              <w:tabs>
                <w:tab w:val="left" w:pos="2880"/>
              </w:tabs>
              <w:adjustRightInd w:val="0"/>
              <w:snapToGrid w:val="0"/>
              <w:spacing w:line="360" w:lineRule="auto"/>
              <w:rPr>
                <w:rFonts w:ascii="宋体" w:hAnsi="宋体"/>
                <w:color w:val="000000" w:themeColor="text1"/>
              </w:rPr>
            </w:pPr>
            <w:r>
              <w:rPr>
                <w:rFonts w:hint="eastAsia" w:ascii="宋体" w:hAnsi="宋体"/>
                <w:color w:val="000000" w:themeColor="text1"/>
              </w:rPr>
              <w:t>中外习俗</w:t>
            </w:r>
            <w:r>
              <w:rPr>
                <w:rFonts w:hint="eastAsia"/>
                <w:color w:val="000000" w:themeColor="text1"/>
              </w:rPr>
              <w:t>文化</w:t>
            </w:r>
            <w:r>
              <w:rPr>
                <w:rFonts w:hint="eastAsia" w:ascii="宋体" w:hAnsi="宋体"/>
                <w:color w:val="000000" w:themeColor="text1"/>
              </w:rPr>
              <w:t>内容的异同及其原因</w:t>
            </w:r>
          </w:p>
          <w:p>
            <w:pPr>
              <w:spacing w:line="360" w:lineRule="auto"/>
              <w:jc w:val="center"/>
              <w:rPr>
                <w:rFonts w:ascii="宋体" w:hAnsi="宋体"/>
                <w:color w:val="000000" w:themeColor="text1"/>
              </w:rPr>
            </w:pPr>
            <w:r>
              <w:rPr>
                <w:rFonts w:hint="eastAsia" w:ascii="宋体" w:hAnsi="宋体"/>
                <w:color w:val="000000" w:themeColor="text1"/>
              </w:rPr>
              <w:t>中外宗教文化流传的区别</w:t>
            </w: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2</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 w:hRule="atLeast"/>
          <w:jc w:val="center"/>
        </w:trPr>
        <w:tc>
          <w:tcPr>
            <w:tcW w:w="511" w:type="dxa"/>
            <w:tcMar>
              <w:left w:w="28" w:type="dxa"/>
              <w:right w:w="28" w:type="dxa"/>
            </w:tcMar>
            <w:vAlign w:val="center"/>
          </w:tcPr>
          <w:p>
            <w:pPr>
              <w:spacing w:line="360" w:lineRule="auto"/>
              <w:jc w:val="center"/>
              <w:rPr>
                <w:rFonts w:ascii="Times New Roman" w:hAnsi="Times New Roman" w:cs="宋体"/>
                <w:color w:val="000000" w:themeColor="text1"/>
                <w:sz w:val="18"/>
                <w:szCs w:val="18"/>
              </w:rPr>
            </w:pPr>
            <w:r>
              <w:rPr>
                <w:rFonts w:hint="eastAsia" w:ascii="Times New Roman" w:hAnsi="Times New Roman" w:cs="宋体"/>
                <w:color w:val="000000" w:themeColor="text1"/>
                <w:sz w:val="18"/>
                <w:szCs w:val="18"/>
              </w:rPr>
              <w:t>合计</w:t>
            </w:r>
          </w:p>
        </w:tc>
        <w:tc>
          <w:tcPr>
            <w:tcW w:w="3280" w:type="dxa"/>
            <w:tcMar>
              <w:left w:w="28" w:type="dxa"/>
              <w:right w:w="28" w:type="dxa"/>
            </w:tcMar>
            <w:vAlign w:val="center"/>
          </w:tcPr>
          <w:p>
            <w:pPr>
              <w:spacing w:line="360" w:lineRule="auto"/>
              <w:jc w:val="center"/>
              <w:rPr>
                <w:rFonts w:ascii="宋体" w:hAnsi="宋体"/>
                <w:color w:val="000000" w:themeColor="text1"/>
              </w:rPr>
            </w:pPr>
          </w:p>
        </w:tc>
        <w:tc>
          <w:tcPr>
            <w:tcW w:w="708"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16</w:t>
            </w:r>
          </w:p>
        </w:tc>
        <w:tc>
          <w:tcPr>
            <w:tcW w:w="89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947"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c>
          <w:tcPr>
            <w:tcW w:w="847" w:type="dxa"/>
            <w:tcMar>
              <w:left w:w="28" w:type="dxa"/>
              <w:right w:w="28" w:type="dxa"/>
            </w:tcMar>
            <w:vAlign w:val="center"/>
          </w:tcPr>
          <w:p>
            <w:pPr>
              <w:spacing w:line="360" w:lineRule="auto"/>
              <w:jc w:val="center"/>
              <w:rPr>
                <w:rFonts w:ascii="Times New Roman" w:hAnsi="Times New Roman" w:eastAsia="宋体" w:cs="Times New Roman"/>
                <w:color w:val="000000" w:themeColor="text1"/>
                <w:sz w:val="18"/>
                <w:szCs w:val="18"/>
              </w:rPr>
            </w:pPr>
            <w:r>
              <w:rPr>
                <w:rFonts w:hint="eastAsia" w:ascii="Times New Roman" w:hAnsi="Times New Roman" w:cs="Times New Roman"/>
                <w:color w:val="000000" w:themeColor="text1"/>
                <w:sz w:val="18"/>
                <w:szCs w:val="18"/>
              </w:rPr>
              <w:t>16</w:t>
            </w:r>
          </w:p>
        </w:tc>
        <w:tc>
          <w:tcPr>
            <w:tcW w:w="760" w:type="dxa"/>
            <w:tcMar>
              <w:left w:w="28" w:type="dxa"/>
              <w:right w:w="28" w:type="dxa"/>
            </w:tcMar>
            <w:vAlign w:val="center"/>
          </w:tcPr>
          <w:p>
            <w:pPr>
              <w:spacing w:line="360" w:lineRule="auto"/>
              <w:jc w:val="center"/>
              <w:rPr>
                <w:rFonts w:ascii="Times New Roman" w:hAnsi="Times New Roman" w:cs="Times New Roman"/>
                <w:color w:val="000000" w:themeColor="text1"/>
                <w:sz w:val="18"/>
                <w:szCs w:val="18"/>
              </w:rPr>
            </w:pPr>
          </w:p>
        </w:tc>
      </w:tr>
    </w:tbl>
    <w:p>
      <w:pPr>
        <w:pStyle w:val="20"/>
        <w:spacing w:before="0" w:beforeAutospacing="0" w:after="0" w:afterAutospacing="0" w:line="360" w:lineRule="auto"/>
        <w:jc w:val="both"/>
        <w:rPr>
          <w:rFonts w:ascii="Times New Roman" w:hAnsi="Times New Roman"/>
          <w:b/>
          <w:bCs/>
          <w:color w:val="000000" w:themeColor="text1"/>
        </w:rPr>
      </w:pPr>
    </w:p>
    <w:p>
      <w:pPr>
        <w:pStyle w:val="20"/>
        <w:spacing w:before="0" w:beforeAutospacing="0" w:after="0" w:afterAutospacing="0" w:line="360" w:lineRule="auto"/>
        <w:jc w:val="both"/>
        <w:rPr>
          <w:color w:val="000000" w:themeColor="text1"/>
          <w:sz w:val="21"/>
          <w:szCs w:val="21"/>
        </w:rPr>
      </w:pPr>
      <w:r>
        <w:rPr>
          <w:rFonts w:hint="eastAsia" w:ascii="Times New Roman" w:hAnsi="Times New Roman"/>
          <w:b/>
          <w:bCs/>
          <w:color w:val="000000" w:themeColor="text1"/>
        </w:rPr>
        <w:t xml:space="preserve">    五、课外学习要求</w:t>
      </w:r>
    </w:p>
    <w:p>
      <w:pPr>
        <w:adjustRightInd w:val="0"/>
        <w:spacing w:line="360" w:lineRule="auto"/>
        <w:ind w:firstLine="420" w:firstLineChars="200"/>
        <w:rPr>
          <w:color w:val="000000" w:themeColor="text1"/>
        </w:rPr>
      </w:pPr>
      <w:r>
        <w:rPr>
          <w:rFonts w:hint="eastAsia" w:ascii="Times New Roman" w:hAnsi="Times New Roman" w:cs="宋体"/>
          <w:bCs/>
          <w:color w:val="000000" w:themeColor="text1"/>
        </w:rPr>
        <w:t>广泛阅读中外文学作品,</w:t>
      </w:r>
      <w:r>
        <w:rPr>
          <w:color w:val="000000" w:themeColor="text1"/>
        </w:rPr>
        <w:t>安排课外作业1-2次，根据教学中的重点、难点问题，并结合大学生的实际自行拟定题目，要求学生进行理性思考，独立完成。</w:t>
      </w:r>
    </w:p>
    <w:p>
      <w:pPr>
        <w:adjustRightInd w:val="0"/>
        <w:spacing w:line="360" w:lineRule="auto"/>
        <w:ind w:firstLine="420" w:firstLineChars="200"/>
        <w:rPr>
          <w:color w:val="000000" w:themeColor="text1"/>
        </w:rPr>
      </w:pPr>
    </w:p>
    <w:p>
      <w:pPr>
        <w:adjustRightInd w:val="0"/>
        <w:spacing w:line="360" w:lineRule="auto"/>
        <w:ind w:firstLine="420" w:firstLineChars="200"/>
        <w:rPr>
          <w:rFonts w:ascii="宋体" w:hAnsi="宋体"/>
          <w:color w:val="000000" w:themeColor="text1"/>
        </w:rPr>
      </w:pPr>
      <w:r>
        <w:rPr>
          <w:rFonts w:hint="eastAsia" w:ascii="Times New Roman" w:hAnsi="Times New Roman" w:cs="宋体"/>
          <w:b/>
          <w:bCs/>
          <w:color w:val="000000" w:themeColor="text1"/>
        </w:rPr>
        <w:t>六、考核内容及方式</w:t>
      </w:r>
    </w:p>
    <w:p>
      <w:pPr>
        <w:autoSpaceDE w:val="0"/>
        <w:autoSpaceDN w:val="0"/>
        <w:adjustRightInd w:val="0"/>
        <w:spacing w:line="360" w:lineRule="auto"/>
        <w:ind w:firstLine="420" w:firstLineChars="200"/>
        <w:rPr>
          <w:rFonts w:ascii="Times New Roman" w:hAnsi="Times New Roman" w:cs="宋体"/>
          <w:color w:val="000000" w:themeColor="text1"/>
        </w:rPr>
      </w:pPr>
      <w:r>
        <w:rPr>
          <w:rFonts w:hint="eastAsia" w:ascii="Times New Roman" w:hAnsi="Times New Roman" w:cs="宋体"/>
          <w:color w:val="000000" w:themeColor="text1"/>
        </w:rPr>
        <w:t>计分制：百分制（</w:t>
      </w:r>
      <w:r>
        <w:rPr>
          <w:rFonts w:ascii="Times New Roman" w:hAnsi="Times New Roman" w:cs="Times New Roman"/>
          <w:color w:val="000000" w:themeColor="text1"/>
        </w:rPr>
        <w:t>√</w:t>
      </w:r>
      <w:r>
        <w:rPr>
          <w:rFonts w:hint="eastAsia" w:ascii="Times New Roman" w:hAnsi="Times New Roman" w:cs="宋体"/>
          <w:color w:val="000000" w:themeColor="text1"/>
        </w:rPr>
        <w:t>）；五级分制（）；两级分制（）</w:t>
      </w:r>
    </w:p>
    <w:p>
      <w:pPr>
        <w:autoSpaceDE w:val="0"/>
        <w:autoSpaceDN w:val="0"/>
        <w:adjustRightInd w:val="0"/>
        <w:spacing w:line="360" w:lineRule="auto"/>
        <w:ind w:firstLine="420" w:firstLineChars="200"/>
        <w:rPr>
          <w:rFonts w:ascii="Times New Roman" w:hAnsi="Times New Roman" w:cs="Times New Roman"/>
          <w:color w:val="000000" w:themeColor="text1"/>
        </w:rPr>
      </w:pPr>
      <w:r>
        <w:rPr>
          <w:rFonts w:hint="eastAsia" w:ascii="Times New Roman" w:hAnsi="Times New Roman" w:cs="宋体"/>
          <w:color w:val="000000" w:themeColor="text1"/>
        </w:rPr>
        <w:t>考核方式：考试（）；考查（</w:t>
      </w:r>
      <w:r>
        <w:rPr>
          <w:rFonts w:ascii="Times New Roman" w:hAnsi="Times New Roman" w:cs="Times New Roman"/>
          <w:color w:val="000000" w:themeColor="text1"/>
        </w:rPr>
        <w:t>√</w:t>
      </w:r>
      <w:r>
        <w:rPr>
          <w:rFonts w:hint="eastAsia" w:ascii="Times New Roman" w:hAnsi="Times New Roman" w:cs="宋体"/>
          <w:color w:val="000000" w:themeColor="text1"/>
        </w:rPr>
        <w:t>）</w:t>
      </w:r>
    </w:p>
    <w:p>
      <w:pPr>
        <w:adjustRightInd w:val="0"/>
        <w:spacing w:line="360" w:lineRule="auto"/>
        <w:ind w:firstLine="435"/>
        <w:rPr>
          <w:rFonts w:ascii="Times New Roman" w:hAnsi="Times New Roman" w:cs="Times New Roman"/>
          <w:color w:val="000000" w:themeColor="text1"/>
        </w:rPr>
      </w:pPr>
      <w:r>
        <w:rPr>
          <w:rFonts w:hint="eastAsia" w:ascii="Times New Roman" w:hAnsi="Times New Roman" w:cs="宋体"/>
          <w:color w:val="000000" w:themeColor="text1"/>
        </w:rPr>
        <w:t>本课程成绩由</w:t>
      </w:r>
      <w:r>
        <w:rPr>
          <w:rFonts w:hint="eastAsia" w:ascii="Times New Roman" w:hAnsi="Times New Roman" w:cs="宋体"/>
          <w:bCs/>
          <w:color w:val="000000" w:themeColor="text1"/>
        </w:rPr>
        <w:t>平时成绩</w:t>
      </w:r>
      <w:r>
        <w:rPr>
          <w:rFonts w:hint="eastAsia" w:ascii="Times New Roman" w:hAnsi="Times New Roman" w:cs="宋体"/>
          <w:color w:val="000000" w:themeColor="text1"/>
        </w:rPr>
        <w:t>和</w:t>
      </w:r>
      <w:r>
        <w:rPr>
          <w:rFonts w:hint="eastAsia" w:ascii="Times New Roman" w:hAnsi="Times New Roman" w:cs="宋体"/>
          <w:bCs/>
          <w:color w:val="000000" w:themeColor="text1"/>
        </w:rPr>
        <w:t>期末</w:t>
      </w:r>
      <w:r>
        <w:rPr>
          <w:rFonts w:hint="eastAsia" w:ascii="Times New Roman" w:hAnsi="Times New Roman" w:cs="宋体"/>
          <w:color w:val="000000" w:themeColor="text1"/>
        </w:rPr>
        <w:t>成绩组合而成。各部分所占比例如下：</w:t>
      </w:r>
    </w:p>
    <w:p>
      <w:pPr>
        <w:adjustRightInd w:val="0"/>
        <w:spacing w:line="360" w:lineRule="auto"/>
        <w:ind w:firstLine="420" w:firstLineChars="200"/>
        <w:rPr>
          <w:rFonts w:ascii="Times New Roman" w:hAnsi="Times New Roman" w:cs="宋体"/>
          <w:color w:val="000000" w:themeColor="text1"/>
        </w:rPr>
      </w:pPr>
      <w:r>
        <w:rPr>
          <w:rFonts w:hint="eastAsia" w:ascii="Times New Roman" w:hAnsi="Times New Roman" w:cs="宋体"/>
          <w:color w:val="000000" w:themeColor="text1"/>
        </w:rPr>
        <w:t>平时成绩占</w:t>
      </w:r>
      <w:r>
        <w:rPr>
          <w:rFonts w:hint="eastAsia" w:ascii="Times New Roman" w:hAnsi="Times New Roman" w:cs="Times New Roman"/>
          <w:color w:val="000000" w:themeColor="text1"/>
        </w:rPr>
        <w:t>40</w:t>
      </w:r>
      <w:r>
        <w:rPr>
          <w:rFonts w:ascii="Times New Roman" w:hAnsi="Times New Roman" w:cs="Times New Roman"/>
          <w:color w:val="000000" w:themeColor="text1"/>
        </w:rPr>
        <w:t>%</w:t>
      </w:r>
      <w:r>
        <w:rPr>
          <w:rFonts w:hint="eastAsia" w:ascii="Times New Roman" w:hAnsi="Times New Roman" w:cs="宋体"/>
          <w:color w:val="000000" w:themeColor="text1"/>
        </w:rPr>
        <w:t>，主要考查</w:t>
      </w:r>
      <w:r>
        <w:rPr>
          <w:rFonts w:hint="eastAsia" w:ascii="Times New Roman" w:hAnsi="Times New Roman" w:cs="宋体"/>
          <w:bCs/>
          <w:color w:val="000000" w:themeColor="text1"/>
        </w:rPr>
        <w:t>考勤、上课回答问题和作业情况</w:t>
      </w:r>
      <w:r>
        <w:rPr>
          <w:rFonts w:hint="eastAsia" w:ascii="Times New Roman" w:hAnsi="Times New Roman" w:cs="宋体"/>
          <w:color w:val="000000" w:themeColor="text1"/>
        </w:rPr>
        <w:t>等。期末考试成绩占</w:t>
      </w:r>
      <w:r>
        <w:rPr>
          <w:rFonts w:hint="eastAsia" w:ascii="Times New Roman" w:hAnsi="Times New Roman" w:cs="Times New Roman"/>
          <w:color w:val="000000" w:themeColor="text1"/>
        </w:rPr>
        <w:t>60</w:t>
      </w:r>
      <w:r>
        <w:rPr>
          <w:rFonts w:ascii="Times New Roman" w:hAnsi="Times New Roman" w:cs="Times New Roman"/>
          <w:color w:val="000000" w:themeColor="text1"/>
        </w:rPr>
        <w:t>%</w:t>
      </w:r>
      <w:r>
        <w:rPr>
          <w:rFonts w:hint="eastAsia" w:ascii="Times New Roman" w:hAnsi="Times New Roman" w:cs="宋体"/>
          <w:color w:val="000000" w:themeColor="text1"/>
        </w:rPr>
        <w:t>，采用写学术论文的形式进行考察。考核内容主要包括对课堂内容的理解和课外阅读的深度与广度。</w:t>
      </w:r>
    </w:p>
    <w:p>
      <w:pPr>
        <w:adjustRightInd w:val="0"/>
        <w:spacing w:line="360" w:lineRule="auto"/>
        <w:ind w:firstLine="420" w:firstLineChars="200"/>
        <w:rPr>
          <w:rFonts w:ascii="Times New Roman" w:hAnsi="Times New Roman" w:cs="宋体"/>
          <w:color w:val="000000" w:themeColor="text1"/>
        </w:rPr>
      </w:pPr>
    </w:p>
    <w:p>
      <w:pPr>
        <w:adjustRightInd w:val="0"/>
        <w:spacing w:line="360" w:lineRule="auto"/>
        <w:ind w:firstLine="420" w:firstLineChars="200"/>
        <w:rPr>
          <w:rFonts w:ascii="Times New Roman" w:hAnsi="Times New Roman" w:cs="Times New Roman"/>
          <w:b/>
          <w:bCs/>
          <w:color w:val="000000" w:themeColor="text1"/>
        </w:rPr>
      </w:pPr>
      <w:r>
        <w:rPr>
          <w:rFonts w:hint="eastAsia" w:ascii="Times New Roman" w:hAnsi="Times New Roman" w:cs="宋体"/>
          <w:b/>
          <w:bCs/>
          <w:color w:val="000000" w:themeColor="text1"/>
        </w:rPr>
        <w:t>七、持续改进</w:t>
      </w:r>
    </w:p>
    <w:p>
      <w:pPr>
        <w:spacing w:line="360" w:lineRule="auto"/>
        <w:ind w:firstLine="420" w:firstLineChars="200"/>
        <w:rPr>
          <w:rFonts w:ascii="Times New Roman" w:hAnsi="Times New Roman" w:cs="宋体"/>
          <w:color w:val="000000" w:themeColor="text1"/>
        </w:rPr>
      </w:pPr>
      <w:r>
        <w:rPr>
          <w:rFonts w:hint="eastAsia" w:ascii="Times New Roman" w:hAnsi="Times New Roman" w:cs="宋体"/>
          <w:color w:val="000000" w:themeColor="text1"/>
        </w:rPr>
        <w:t>本课程根据专家听课反馈和学生评教，及时对教学中不足之处进行改进，并在下一轮课程教学中改进提高，确保相应毕业要求指标点达成。</w:t>
      </w:r>
    </w:p>
    <w:p>
      <w:pPr>
        <w:spacing w:line="360" w:lineRule="auto"/>
        <w:ind w:firstLine="420" w:firstLineChars="200"/>
        <w:rPr>
          <w:rFonts w:ascii="Times New Roman" w:hAnsi="Times New Roman" w:cs="宋体"/>
          <w:color w:val="000000" w:themeColor="text1"/>
        </w:rPr>
      </w:pPr>
    </w:p>
    <w:p>
      <w:pPr>
        <w:pStyle w:val="66"/>
        <w:spacing w:line="360" w:lineRule="auto"/>
        <w:rPr>
          <w:bCs w:val="0"/>
          <w:color w:val="000000" w:themeColor="text1"/>
          <w:szCs w:val="21"/>
        </w:rPr>
      </w:pPr>
      <w:r>
        <w:rPr>
          <w:rFonts w:hint="eastAsia"/>
          <w:bCs w:val="0"/>
          <w:color w:val="000000" w:themeColor="text1"/>
          <w:szCs w:val="21"/>
        </w:rPr>
        <w:t>八、教材及参考资料</w:t>
      </w:r>
    </w:p>
    <w:p>
      <w:pPr>
        <w:pStyle w:val="66"/>
        <w:spacing w:line="360" w:lineRule="auto"/>
        <w:rPr>
          <w:color w:val="000000" w:themeColor="text1"/>
        </w:rPr>
      </w:pPr>
      <w:r>
        <w:rPr>
          <w:rFonts w:hint="eastAsia"/>
          <w:color w:val="000000" w:themeColor="text1"/>
        </w:rPr>
        <w:t>建议教材：</w:t>
      </w:r>
    </w:p>
    <w:p>
      <w:pPr>
        <w:widowControl/>
        <w:autoSpaceDN w:val="0"/>
        <w:snapToGrid w:val="0"/>
        <w:spacing w:line="360" w:lineRule="auto"/>
        <w:textAlignment w:val="bottom"/>
        <w:rPr>
          <w:rFonts w:ascii="宋体" w:hAnsi="宋体" w:cs="宋体"/>
          <w:color w:val="000000" w:themeColor="text1"/>
        </w:rPr>
      </w:pPr>
      <w:r>
        <w:rPr>
          <w:rFonts w:hint="eastAsia"/>
          <w:color w:val="000000" w:themeColor="text1"/>
        </w:rPr>
        <w:t xml:space="preserve">    </w:t>
      </w:r>
      <w:r>
        <w:rPr>
          <w:rFonts w:ascii="Times New Roman" w:hAnsi="Times New Roman" w:cs="Times New Roman"/>
          <w:color w:val="000000" w:themeColor="text1"/>
        </w:rPr>
        <w:t>[1]</w:t>
      </w:r>
      <w:r>
        <w:rPr>
          <w:rFonts w:hint="eastAsia"/>
          <w:color w:val="000000" w:themeColor="text1"/>
        </w:rPr>
        <w:t>徐行言.中外文化比较</w:t>
      </w:r>
      <w:r>
        <w:rPr>
          <w:rFonts w:ascii="Times New Roman" w:hAnsi="Times New Roman" w:cs="Times New Roman"/>
          <w:color w:val="000000" w:themeColor="text1"/>
        </w:rPr>
        <w:t>[M]</w:t>
      </w:r>
      <w:r>
        <w:rPr>
          <w:rFonts w:hint="eastAsia" w:ascii="Times New Roman" w:hAnsi="Times New Roman" w:cs="宋体"/>
          <w:color w:val="000000" w:themeColor="text1"/>
        </w:rPr>
        <w:t>．</w:t>
      </w:r>
      <w:r>
        <w:rPr>
          <w:rFonts w:hint="eastAsia"/>
          <w:color w:val="000000" w:themeColor="text1"/>
        </w:rPr>
        <w:t>北京：北京大学出版社，2004</w:t>
      </w:r>
      <w:r>
        <w:rPr>
          <w:rFonts w:ascii="宋体" w:hAnsi="宋体" w:cs="宋体"/>
          <w:color w:val="000000" w:themeColor="text1"/>
        </w:rPr>
        <w:t xml:space="preserve"> </w:t>
      </w:r>
    </w:p>
    <w:p>
      <w:pPr>
        <w:spacing w:line="360" w:lineRule="auto"/>
        <w:ind w:firstLine="420" w:firstLineChars="200"/>
        <w:rPr>
          <w:rFonts w:ascii="Times New Roman" w:hAnsi="Times New Roman" w:cs="Times New Roman"/>
          <w:b/>
          <w:bCs/>
          <w:color w:val="000000" w:themeColor="text1"/>
        </w:rPr>
      </w:pPr>
      <w:r>
        <w:rPr>
          <w:rFonts w:hint="eastAsia" w:ascii="Times New Roman" w:hAnsi="Times New Roman" w:cs="宋体"/>
          <w:b/>
          <w:bCs/>
          <w:color w:val="000000" w:themeColor="text1"/>
        </w:rPr>
        <w:t>参考资料：</w:t>
      </w:r>
    </w:p>
    <w:p>
      <w:pPr>
        <w:tabs>
          <w:tab w:val="left" w:pos="1260"/>
        </w:tabs>
        <w:spacing w:line="360" w:lineRule="auto"/>
        <w:ind w:firstLine="420" w:firstLineChars="200"/>
        <w:rPr>
          <w:rFonts w:ascii="宋体" w:hAnsi="宋体"/>
          <w:color w:val="000000" w:themeColor="text1"/>
        </w:rPr>
      </w:pPr>
      <w:r>
        <w:rPr>
          <w:rFonts w:ascii="Times New Roman" w:hAnsi="Times New Roman" w:cs="Times New Roman"/>
          <w:color w:val="000000" w:themeColor="text1"/>
        </w:rPr>
        <w:t>[1]</w:t>
      </w:r>
      <w:r>
        <w:rPr>
          <w:rFonts w:hint="eastAsia" w:ascii="宋体" w:hAnsi="宋体"/>
          <w:color w:val="000000" w:themeColor="text1"/>
        </w:rPr>
        <w:t xml:space="preserve"> 邓晓芒</w:t>
      </w:r>
      <w:r>
        <w:rPr>
          <w:rFonts w:hint="eastAsia" w:ascii="Times New Roman" w:hAnsi="Times New Roman" w:cs="宋体"/>
          <w:color w:val="000000" w:themeColor="text1"/>
        </w:rPr>
        <w:t>．</w:t>
      </w:r>
      <w:r>
        <w:rPr>
          <w:rFonts w:hint="eastAsia" w:ascii="宋体" w:hAnsi="宋体"/>
          <w:color w:val="000000" w:themeColor="text1"/>
        </w:rPr>
        <w:t>中外文化比较十一讲</w:t>
      </w:r>
      <w:r>
        <w:rPr>
          <w:rFonts w:ascii="Times New Roman" w:hAnsi="Times New Roman" w:cs="Times New Roman"/>
          <w:color w:val="000000" w:themeColor="text1"/>
        </w:rPr>
        <w:t>[M]</w:t>
      </w:r>
      <w:r>
        <w:rPr>
          <w:rFonts w:hint="eastAsia" w:ascii="Times New Roman" w:hAnsi="Times New Roman" w:cs="宋体"/>
          <w:color w:val="000000" w:themeColor="text1"/>
        </w:rPr>
        <w:t>．</w:t>
      </w:r>
      <w:r>
        <w:rPr>
          <w:rFonts w:hint="eastAsia" w:ascii="宋体" w:hAnsi="宋体"/>
          <w:color w:val="000000" w:themeColor="text1"/>
        </w:rPr>
        <w:t>长沙：湖南教育出版社，2007</w:t>
      </w:r>
    </w:p>
    <w:p>
      <w:pPr>
        <w:tabs>
          <w:tab w:val="left" w:pos="1260"/>
        </w:tabs>
        <w:spacing w:line="360" w:lineRule="auto"/>
        <w:ind w:firstLine="420" w:firstLineChars="200"/>
        <w:rPr>
          <w:rFonts w:ascii="Times New Roman" w:hAnsi="Times New Roman" w:cs="Times New Roman"/>
          <w:color w:val="000000" w:themeColor="text1"/>
        </w:rPr>
      </w:pPr>
      <w:r>
        <w:rPr>
          <w:rFonts w:ascii="Times New Roman" w:hAnsi="Times New Roman" w:cs="Times New Roman"/>
          <w:color w:val="000000" w:themeColor="text1"/>
        </w:rPr>
        <w:t xml:space="preserve">[2] </w:t>
      </w:r>
      <w:r>
        <w:rPr>
          <w:rFonts w:hint="eastAsia"/>
          <w:color w:val="000000" w:themeColor="text1"/>
        </w:rPr>
        <w:t>叶绪民</w:t>
      </w:r>
      <w:r>
        <w:rPr>
          <w:rFonts w:hint="eastAsia" w:ascii="Times New Roman" w:hAnsi="Times New Roman" w:cs="宋体"/>
          <w:color w:val="000000" w:themeColor="text1"/>
        </w:rPr>
        <w:t>．</w:t>
      </w:r>
      <w:r>
        <w:rPr>
          <w:rFonts w:hint="eastAsia"/>
          <w:color w:val="000000" w:themeColor="text1"/>
        </w:rPr>
        <w:t>比较文学理论与实践</w:t>
      </w:r>
      <w:r>
        <w:rPr>
          <w:rFonts w:ascii="Times New Roman" w:hAnsi="Times New Roman" w:cs="Times New Roman"/>
          <w:color w:val="000000" w:themeColor="text1"/>
        </w:rPr>
        <w:t>[M]</w:t>
      </w:r>
      <w:r>
        <w:rPr>
          <w:rFonts w:hint="eastAsia" w:ascii="Times New Roman" w:hAnsi="Times New Roman" w:cs="宋体"/>
          <w:color w:val="000000" w:themeColor="text1"/>
        </w:rPr>
        <w:t>．武汉：</w:t>
      </w:r>
      <w:r>
        <w:rPr>
          <w:rFonts w:hint="eastAsia"/>
          <w:color w:val="000000" w:themeColor="text1"/>
        </w:rPr>
        <w:t>武汉大学</w:t>
      </w:r>
      <w:r>
        <w:rPr>
          <w:rFonts w:hint="eastAsia" w:ascii="Times New Roman" w:hAnsi="Times New Roman" w:cs="宋体"/>
          <w:color w:val="000000" w:themeColor="text1"/>
        </w:rPr>
        <w:t>出版社，</w:t>
      </w:r>
      <w:r>
        <w:rPr>
          <w:rFonts w:ascii="Times New Roman" w:hAnsi="Times New Roman" w:cs="Times New Roman"/>
          <w:color w:val="000000" w:themeColor="text1"/>
        </w:rPr>
        <w:t>2004</w:t>
      </w:r>
    </w:p>
    <w:p>
      <w:pPr>
        <w:spacing w:line="360" w:lineRule="auto"/>
        <w:rPr>
          <w:color w:val="000000" w:themeColor="text1"/>
        </w:rPr>
      </w:pPr>
    </w:p>
    <w:p>
      <w:pPr>
        <w:spacing w:line="360" w:lineRule="auto"/>
        <w:rPr>
          <w:color w:val="000000" w:themeColor="text1"/>
        </w:rPr>
      </w:pPr>
    </w:p>
    <w:p>
      <w:pPr>
        <w:pStyle w:val="2"/>
        <w:spacing w:line="360" w:lineRule="auto"/>
        <w:rPr>
          <w:color w:val="000000" w:themeColor="text1"/>
          <w:sz w:val="32"/>
          <w:szCs w:val="32"/>
        </w:rPr>
      </w:pPr>
      <w:r>
        <w:rPr>
          <w:rFonts w:hint="eastAsia"/>
          <w:color w:val="000000" w:themeColor="text1"/>
          <w:sz w:val="32"/>
          <w:szCs w:val="32"/>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外语教育心理学课程教学大纲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 xml:space="preserve">：外语教育心理学 Foreign Language Educational Psychology  </w:t>
      </w:r>
      <w:r>
        <w:rPr>
          <w:color w:val="000000" w:themeColor="text1"/>
          <w:sz w:val="21"/>
          <w:szCs w:val="21"/>
        </w:rPr>
        <w:t xml:space="preserve">   </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：1504532012</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：学科学位课扩展课程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32</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2</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205" w:firstLineChars="98"/>
        <w:jc w:val="left"/>
        <w:rPr>
          <w:rFonts w:cs="宋体"/>
          <w:color w:val="000000" w:themeColor="text1"/>
          <w:szCs w:val="21"/>
        </w:rPr>
      </w:pPr>
      <w:r>
        <w:rPr>
          <w:rFonts w:hint="eastAsia" w:cs="宋体"/>
          <w:color w:val="000000" w:themeColor="text1"/>
          <w:szCs w:val="21"/>
        </w:rPr>
        <w:t>《</w:t>
      </w:r>
      <w:r>
        <w:rPr>
          <w:rFonts w:hint="eastAsia"/>
          <w:color w:val="000000" w:themeColor="text1"/>
        </w:rPr>
        <w:t>外语教育心理学</w:t>
      </w:r>
      <w:r>
        <w:rPr>
          <w:rFonts w:hint="eastAsia" w:cs="宋体"/>
          <w:color w:val="000000" w:themeColor="text1"/>
          <w:szCs w:val="21"/>
        </w:rPr>
        <w:t>》是汉语国际教育硕士专业学生学位扩展课程之一。</w:t>
      </w:r>
      <w:r>
        <w:rPr>
          <w:rFonts w:hint="eastAsia"/>
          <w:bCs/>
          <w:color w:val="000000" w:themeColor="text1"/>
          <w:kern w:val="0"/>
          <w:szCs w:val="21"/>
        </w:rPr>
        <w:t>本课程</w:t>
      </w:r>
      <w:r>
        <w:rPr>
          <w:rFonts w:hint="eastAsia"/>
          <w:color w:val="000000" w:themeColor="text1"/>
        </w:rPr>
        <w:t>重点针对的是汉语作为外语学习和教学过程中的心理基础、心理活动、心理过程和心理规律等问题，</w:t>
      </w:r>
      <w:r>
        <w:rPr>
          <w:color w:val="000000" w:themeColor="text1"/>
        </w:rPr>
        <w:t>以普通心理学中</w:t>
      </w:r>
      <w:r>
        <w:rPr>
          <w:rFonts w:hint="eastAsia"/>
          <w:color w:val="000000" w:themeColor="text1"/>
        </w:rPr>
        <w:t>的</w:t>
      </w:r>
      <w:r>
        <w:rPr>
          <w:color w:val="000000" w:themeColor="text1"/>
        </w:rPr>
        <w:t>核心内容为基础，汲取语言心理学中有关语言感知、语言获得、语言理解和语言生成等精华，引入认知心理学的基本原理，从教和学两方面阐述汉语作为外语学习的心理活动、心理过程和心理规律。</w:t>
      </w:r>
      <w:r>
        <w:rPr>
          <w:rFonts w:hint="eastAsia" w:cs="宋体"/>
          <w:color w:val="000000" w:themeColor="text1"/>
          <w:szCs w:val="21"/>
        </w:rPr>
        <w:t>通过相关教学中的心理案例分析，为学生在汉语教学活动中提供教育心理学的理论基础和实践理念，</w:t>
      </w:r>
      <w:r>
        <w:rPr>
          <w:rFonts w:cs="宋体"/>
          <w:color w:val="000000" w:themeColor="text1"/>
          <w:szCs w:val="21"/>
        </w:rPr>
        <w:t>以便胜任与</w:t>
      </w:r>
      <w:r>
        <w:rPr>
          <w:rFonts w:hint="eastAsia" w:cs="宋体"/>
          <w:color w:val="000000" w:themeColor="text1"/>
          <w:szCs w:val="21"/>
        </w:rPr>
        <w:t>汉语国际教育</w:t>
      </w:r>
      <w:r>
        <w:rPr>
          <w:rFonts w:cs="宋体"/>
          <w:color w:val="000000" w:themeColor="text1"/>
          <w:szCs w:val="21"/>
        </w:rPr>
        <w:t>有关的各种工作，并为深入研究专门领域的</w:t>
      </w:r>
      <w:r>
        <w:rPr>
          <w:rFonts w:hint="eastAsia" w:cs="宋体"/>
          <w:color w:val="000000" w:themeColor="text1"/>
          <w:szCs w:val="21"/>
        </w:rPr>
        <w:t>汉语教育心理活动</w:t>
      </w:r>
      <w:r>
        <w:rPr>
          <w:rFonts w:cs="宋体"/>
          <w:color w:val="000000" w:themeColor="text1"/>
          <w:szCs w:val="21"/>
        </w:rPr>
        <w:t>打下基础</w:t>
      </w:r>
      <w:r>
        <w:rPr>
          <w:rFonts w:hint="eastAsia" w:cs="宋体"/>
          <w:color w:val="000000" w:themeColor="text1"/>
          <w:szCs w:val="21"/>
        </w:rPr>
        <w:t>。</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spacing w:line="360" w:lineRule="auto"/>
        <w:ind w:firstLine="420" w:firstLineChars="200"/>
        <w:rPr>
          <w:bCs/>
          <w:color w:val="000000" w:themeColor="text1"/>
          <w:kern w:val="0"/>
          <w:szCs w:val="21"/>
        </w:rPr>
      </w:pPr>
      <w:r>
        <w:rPr>
          <w:color w:val="000000" w:themeColor="text1"/>
          <w:szCs w:val="21"/>
        </w:rPr>
        <w:t xml:space="preserve"> </w:t>
      </w:r>
      <w:r>
        <w:rPr>
          <w:rFonts w:hint="eastAsia" w:ascii="宋体" w:hAnsi="宋体" w:cs="宋体"/>
          <w:color w:val="000000" w:themeColor="text1"/>
          <w:kern w:val="0"/>
          <w:szCs w:val="21"/>
        </w:rPr>
        <w:t>本课程开设一个学期，结合汉语国际教育专业的特点，</w:t>
      </w:r>
      <w:r>
        <w:rPr>
          <w:rFonts w:hint="eastAsia"/>
          <w:color w:val="000000" w:themeColor="text1"/>
          <w:szCs w:val="21"/>
        </w:rPr>
        <w:t>适当介绍国内外外语教育心理学研究的最新成果。</w:t>
      </w:r>
      <w:r>
        <w:rPr>
          <w:rFonts w:hint="eastAsia" w:ascii="宋体" w:hAnsi="宋体" w:cs="宋体"/>
          <w:color w:val="000000" w:themeColor="text1"/>
          <w:kern w:val="0"/>
          <w:szCs w:val="21"/>
        </w:rPr>
        <w:t>并力求贯彻理论联系实际的原则，</w:t>
      </w:r>
      <w:r>
        <w:rPr>
          <w:rFonts w:hint="eastAsia"/>
          <w:bCs/>
          <w:color w:val="000000" w:themeColor="text1"/>
          <w:kern w:val="0"/>
          <w:szCs w:val="21"/>
        </w:rPr>
        <w:t>介绍</w:t>
      </w:r>
      <w:r>
        <w:rPr>
          <w:rFonts w:hint="eastAsia"/>
          <w:color w:val="000000" w:themeColor="text1"/>
          <w:szCs w:val="21"/>
        </w:rPr>
        <w:t>外语教育心理学</w:t>
      </w:r>
      <w:r>
        <w:rPr>
          <w:rFonts w:hint="eastAsia"/>
          <w:bCs/>
          <w:color w:val="000000" w:themeColor="text1"/>
          <w:kern w:val="0"/>
          <w:szCs w:val="21"/>
        </w:rPr>
        <w:t>的基本原理、概念、心理学与教学相关知识与技能的关系</w:t>
      </w:r>
      <w:r>
        <w:rPr>
          <w:rFonts w:hint="eastAsia" w:ascii="宋体" w:hAnsi="宋体" w:cs="宋体"/>
          <w:color w:val="000000" w:themeColor="text1"/>
          <w:kern w:val="0"/>
          <w:szCs w:val="21"/>
        </w:rPr>
        <w:t>及其应对策略。</w:t>
      </w:r>
      <w:r>
        <w:rPr>
          <w:rFonts w:hint="eastAsia"/>
          <w:color w:val="000000" w:themeColor="text1"/>
        </w:rPr>
        <w:t>本课程将分章介绍</w:t>
      </w:r>
      <w:r>
        <w:rPr>
          <w:color w:val="000000" w:themeColor="text1"/>
        </w:rPr>
        <w:t>汉语作为外语学习的心理基础</w:t>
      </w:r>
      <w:r>
        <w:rPr>
          <w:rFonts w:hint="eastAsia"/>
          <w:color w:val="000000" w:themeColor="text1"/>
        </w:rPr>
        <w:t>、</w:t>
      </w:r>
      <w:r>
        <w:rPr>
          <w:color w:val="000000" w:themeColor="text1"/>
        </w:rPr>
        <w:t>汉语作为外语的感知和理解</w:t>
      </w:r>
      <w:r>
        <w:rPr>
          <w:rFonts w:hint="eastAsia"/>
          <w:color w:val="000000" w:themeColor="text1"/>
        </w:rPr>
        <w:t>、</w:t>
      </w:r>
      <w:r>
        <w:rPr>
          <w:color w:val="000000" w:themeColor="text1"/>
        </w:rPr>
        <w:t>汉语作为外语的记忆</w:t>
      </w:r>
      <w:r>
        <w:rPr>
          <w:rFonts w:hint="eastAsia"/>
          <w:color w:val="000000" w:themeColor="text1"/>
        </w:rPr>
        <w:t>、</w:t>
      </w:r>
      <w:r>
        <w:rPr>
          <w:color w:val="000000" w:themeColor="text1"/>
        </w:rPr>
        <w:t>对外汉语听力教学的心理分析</w:t>
      </w:r>
      <w:r>
        <w:rPr>
          <w:rFonts w:hint="eastAsia"/>
          <w:color w:val="000000" w:themeColor="text1"/>
        </w:rPr>
        <w:t>、</w:t>
      </w:r>
      <w:r>
        <w:rPr>
          <w:color w:val="000000" w:themeColor="text1"/>
        </w:rPr>
        <w:t>对外汉语口语教学的心理分析</w:t>
      </w:r>
      <w:r>
        <w:rPr>
          <w:rFonts w:hint="eastAsia"/>
          <w:color w:val="000000" w:themeColor="text1"/>
        </w:rPr>
        <w:t>、</w:t>
      </w:r>
      <w:r>
        <w:rPr>
          <w:color w:val="000000" w:themeColor="text1"/>
        </w:rPr>
        <w:t>对外汉语阅读教学的心理分析</w:t>
      </w:r>
      <w:r>
        <w:rPr>
          <w:rFonts w:hint="eastAsia"/>
          <w:color w:val="000000" w:themeColor="text1"/>
        </w:rPr>
        <w:t>、</w:t>
      </w:r>
      <w:r>
        <w:rPr>
          <w:color w:val="000000" w:themeColor="text1"/>
        </w:rPr>
        <w:t>对外汉语写作教学的心理分析</w:t>
      </w:r>
      <w:r>
        <w:rPr>
          <w:rFonts w:hint="eastAsia"/>
          <w:color w:val="000000" w:themeColor="text1"/>
        </w:rPr>
        <w:t>、</w:t>
      </w:r>
      <w:r>
        <w:rPr>
          <w:color w:val="000000" w:themeColor="text1"/>
        </w:rPr>
        <w:t>汉语作为外语学习的学习者心理</w:t>
      </w:r>
      <w:r>
        <w:rPr>
          <w:rFonts w:hint="eastAsia"/>
          <w:color w:val="000000" w:themeColor="text1"/>
        </w:rPr>
        <w:t>、</w:t>
      </w:r>
      <w:r>
        <w:rPr>
          <w:color w:val="000000" w:themeColor="text1"/>
        </w:rPr>
        <w:t>对外汉语教师心理等内容。</w:t>
      </w:r>
      <w:r>
        <w:rPr>
          <w:rFonts w:hint="eastAsia"/>
          <w:bCs/>
          <w:color w:val="000000" w:themeColor="text1"/>
          <w:kern w:val="0"/>
          <w:szCs w:val="21"/>
        </w:rPr>
        <w:t>本课程</w:t>
      </w:r>
      <w:r>
        <w:rPr>
          <w:rFonts w:hint="eastAsia" w:ascii="宋体" w:hAnsi="宋体" w:cs="宋体"/>
          <w:color w:val="000000" w:themeColor="text1"/>
          <w:kern w:val="0"/>
          <w:szCs w:val="21"/>
        </w:rPr>
        <w:t>以课堂教师讲授为主，适当辅以课堂讨论和练习。</w:t>
      </w:r>
    </w:p>
    <w:p>
      <w:pPr>
        <w:pStyle w:val="63"/>
        <w:spacing w:line="360" w:lineRule="auto"/>
        <w:outlineLvl w:val="0"/>
        <w:rPr>
          <w:color w:val="000000" w:themeColor="text1"/>
          <w:szCs w:val="24"/>
        </w:rPr>
      </w:pP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 xml:space="preserve">课程介绍 </w:t>
            </w:r>
          </w:p>
          <w:p>
            <w:pPr>
              <w:widowControl/>
              <w:spacing w:line="360" w:lineRule="auto"/>
              <w:rPr>
                <w:rFonts w:cs="宋体"/>
                <w:color w:val="000000" w:themeColor="text1"/>
                <w:szCs w:val="21"/>
              </w:rPr>
            </w:pPr>
            <w:r>
              <w:rPr>
                <w:rFonts w:cs="宋体"/>
                <w:color w:val="000000" w:themeColor="text1"/>
                <w:szCs w:val="21"/>
              </w:rPr>
              <w:t xml:space="preserve">第一章 </w:t>
            </w:r>
            <w:r>
              <w:rPr>
                <w:rFonts w:hint="eastAsia" w:cs="宋体"/>
                <w:color w:val="000000" w:themeColor="text1"/>
                <w:szCs w:val="21"/>
              </w:rPr>
              <w:t>外语教育心理学概述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第二章</w:t>
            </w:r>
            <w:r>
              <w:rPr>
                <w:rFonts w:hint="eastAsia"/>
                <w:color w:val="000000" w:themeColor="text1"/>
                <w:szCs w:val="24"/>
              </w:rPr>
              <w:t>外语学习的心理基础</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第三章</w:t>
            </w:r>
            <w:r>
              <w:rPr>
                <w:rFonts w:hint="eastAsia"/>
                <w:color w:val="000000" w:themeColor="text1"/>
                <w:szCs w:val="24"/>
              </w:rPr>
              <w:t>外语学习理论与模式</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第四章</w:t>
            </w:r>
            <w:r>
              <w:rPr>
                <w:rFonts w:hint="eastAsia"/>
                <w:color w:val="000000" w:themeColor="text1"/>
                <w:szCs w:val="24"/>
              </w:rPr>
              <w:t>外语教学法与心理学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第五章</w:t>
            </w:r>
            <w:r>
              <w:rPr>
                <w:rFonts w:hint="eastAsia"/>
                <w:color w:val="000000" w:themeColor="text1"/>
                <w:szCs w:val="24"/>
              </w:rPr>
              <w:t>汉语作为外语的感知和理解</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第六章</w:t>
            </w:r>
            <w:r>
              <w:rPr>
                <w:rFonts w:hint="eastAsia"/>
                <w:color w:val="000000" w:themeColor="text1"/>
                <w:szCs w:val="24"/>
              </w:rPr>
              <w:t>汉语作为外语的记忆</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第七章</w:t>
            </w:r>
            <w:r>
              <w:rPr>
                <w:rFonts w:hint="eastAsia"/>
                <w:color w:val="000000" w:themeColor="text1"/>
                <w:szCs w:val="24"/>
              </w:rPr>
              <w:t>外语听说读写技能的培养与心理学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宋体" w:cs="宋体"/>
                <w:color w:val="000000" w:themeColor="text1"/>
                <w:szCs w:val="21"/>
              </w:rPr>
            </w:pPr>
            <w:r>
              <w:rPr>
                <w:rFonts w:hint="eastAsia" w:cs="宋体"/>
                <w:color w:val="000000" w:themeColor="text1"/>
                <w:szCs w:val="21"/>
              </w:rPr>
              <w:t xml:space="preserve"> 第八章</w:t>
            </w:r>
            <w:r>
              <w:rPr>
                <w:rFonts w:hint="eastAsia"/>
                <w:color w:val="000000" w:themeColor="text1"/>
                <w:szCs w:val="24"/>
              </w:rPr>
              <w:t>对外汉语听力教学的心理分析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9</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宋体" w:cs="宋体"/>
                <w:color w:val="000000" w:themeColor="text1"/>
                <w:szCs w:val="21"/>
              </w:rPr>
            </w:pPr>
            <w:r>
              <w:rPr>
                <w:rFonts w:hint="eastAsia" w:cs="宋体"/>
                <w:color w:val="000000" w:themeColor="text1"/>
                <w:szCs w:val="21"/>
              </w:rPr>
              <w:t xml:space="preserve"> 第九章</w:t>
            </w:r>
            <w:r>
              <w:rPr>
                <w:rFonts w:hint="eastAsia"/>
                <w:color w:val="000000" w:themeColor="text1"/>
                <w:szCs w:val="24"/>
              </w:rPr>
              <w:t>对外汉语口语教学的心理分析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10</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第十章</w:t>
            </w:r>
            <w:r>
              <w:rPr>
                <w:rFonts w:hint="eastAsia"/>
                <w:color w:val="000000" w:themeColor="text1"/>
                <w:szCs w:val="24"/>
              </w:rPr>
              <w:t>对外汉语阅读教学的心理分析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第十一章</w:t>
            </w:r>
            <w:r>
              <w:rPr>
                <w:rFonts w:hint="eastAsia"/>
                <w:color w:val="000000" w:themeColor="text1"/>
                <w:szCs w:val="24"/>
              </w:rPr>
              <w:t>对外汉语写作教学的心理分析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第十二章</w:t>
            </w:r>
            <w:r>
              <w:rPr>
                <w:rFonts w:hint="eastAsia"/>
                <w:color w:val="000000" w:themeColor="text1"/>
                <w:szCs w:val="24"/>
              </w:rPr>
              <w:t>汉语作为外语学习的学习者心理</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第十三章</w:t>
            </w:r>
            <w:r>
              <w:rPr>
                <w:rFonts w:hint="eastAsia"/>
                <w:color w:val="000000" w:themeColor="text1"/>
                <w:szCs w:val="24"/>
              </w:rPr>
              <w:t>汉语教师心理</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第十四章</w:t>
            </w:r>
            <w:r>
              <w:rPr>
                <w:rFonts w:hint="eastAsia"/>
                <w:color w:val="000000" w:themeColor="text1"/>
                <w:szCs w:val="24"/>
              </w:rPr>
              <w:t>学习动机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第十五章</w:t>
            </w:r>
            <w:r>
              <w:rPr>
                <w:rFonts w:hint="eastAsia"/>
                <w:color w:val="000000" w:themeColor="text1"/>
                <w:szCs w:val="24"/>
              </w:rPr>
              <w:t>学习与迁移</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rPr>
                <w:rFonts w:cs="宋体"/>
                <w:color w:val="000000" w:themeColor="text1"/>
                <w:szCs w:val="21"/>
              </w:rPr>
            </w:pPr>
            <w:r>
              <w:rPr>
                <w:rFonts w:hint="eastAsia" w:cs="宋体"/>
                <w:color w:val="000000" w:themeColor="text1"/>
                <w:szCs w:val="21"/>
              </w:rPr>
              <w:t>第十六章</w:t>
            </w:r>
            <w:r>
              <w:rPr>
                <w:rFonts w:hint="eastAsia"/>
                <w:color w:val="000000" w:themeColor="text1"/>
                <w:szCs w:val="24"/>
              </w:rPr>
              <w:t>汉语课堂管理与心理学</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32</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．考核方式：考试（√）；考查（）</w:t>
      </w:r>
    </w:p>
    <w:p>
      <w:pPr>
        <w:spacing w:line="360" w:lineRule="auto"/>
        <w:ind w:left="420" w:leftChars="200" w:firstLine="420" w:firstLineChars="200"/>
        <w:rPr>
          <w:rFonts w:ascii="宋体" w:hAnsi="宋体"/>
          <w:color w:val="000000" w:themeColor="text1"/>
          <w:szCs w:val="21"/>
        </w:rPr>
      </w:pPr>
      <w:r>
        <w:rPr>
          <w:rFonts w:hint="eastAsia" w:ascii="宋体" w:hAnsi="宋体"/>
          <w:color w:val="000000" w:themeColor="text1"/>
          <w:szCs w:val="21"/>
        </w:rPr>
        <w:t xml:space="preserve">考核采用平时阶段性作业检测和期末试卷考试相结合的方式进行，平时成绩包括学习态度、课后习题、读书报告、课堂内外讨论等占50％，期末试卷考试成绩占50％。 </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w:t>
      </w:r>
      <w:r>
        <w:rPr>
          <w:color w:val="000000" w:themeColor="text1"/>
        </w:rPr>
        <w:t>50</w:t>
      </w:r>
      <w:r>
        <w:rPr>
          <w:rFonts w:hint="eastAsia"/>
          <w:color w:val="000000" w:themeColor="text1"/>
        </w:rPr>
        <w:t>）％；期末考核（</w:t>
      </w:r>
      <w:r>
        <w:rPr>
          <w:color w:val="000000" w:themeColor="text1"/>
        </w:rPr>
        <w:t>50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徐子亮，对外汉语教学心理学，华东师范大学出版社，2008年出版。</w:t>
      </w:r>
    </w:p>
    <w:p>
      <w:pPr>
        <w:spacing w:line="360" w:lineRule="auto"/>
        <w:ind w:firstLine="420" w:firstLineChars="200"/>
        <w:rPr>
          <w:rFonts w:ascii="宋体" w:hAnsi="宋体"/>
          <w:b/>
          <w:color w:val="000000" w:themeColor="text1"/>
          <w:szCs w:val="21"/>
        </w:rPr>
      </w:pPr>
      <w:r>
        <w:rPr>
          <w:rFonts w:hint="eastAsia" w:ascii="宋体" w:hAnsi="宋体"/>
          <w:b/>
          <w:color w:val="000000" w:themeColor="text1"/>
          <w:szCs w:val="21"/>
        </w:rPr>
        <w:t>参考资料：</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1. 徐子亮，汉语作为第二语言教学认知心理学，北京语言大学出版社，2017</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2. 朱麟，对外汉语教育心理学十二讲（修订版），知识产权出版社，2017</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3. 章兼中，外语教学心理学，福建教育出版社，2016</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4. 连榕，华文教育心理学，教育科学出版社，2010</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5. 唐燕儿，华文教育心理学，广东高等教育出版社，2011</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6. 江新，对外汉语教学的心理学探索，教育科学出版社，2007</w:t>
      </w:r>
      <w:r>
        <w:rPr>
          <w:rFonts w:hint="eastAsia" w:ascii="宋体" w:hAnsi="宋体"/>
          <w:color w:val="000000" w:themeColor="text1"/>
          <w:szCs w:val="21"/>
        </w:rPr>
        <w:t>年出版。</w:t>
      </w:r>
    </w:p>
    <w:p>
      <w:pPr>
        <w:spacing w:line="360" w:lineRule="auto"/>
        <w:ind w:firstLine="420" w:firstLineChars="200"/>
        <w:rPr>
          <w:rFonts w:ascii="宋体" w:hAnsi="宋体"/>
          <w:color w:val="000000" w:themeColor="text1"/>
          <w:szCs w:val="21"/>
        </w:rPr>
      </w:pPr>
      <w:r>
        <w:rPr>
          <w:rFonts w:hint="eastAsia" w:ascii="宋体" w:hAnsi="宋体"/>
          <w:bCs/>
          <w:color w:val="000000" w:themeColor="text1"/>
          <w:szCs w:val="21"/>
        </w:rPr>
        <w:t>7. 张灵芝，对外汉语教学心理学引论，厦门大学出版社，2006</w:t>
      </w:r>
      <w:r>
        <w:rPr>
          <w:rFonts w:hint="eastAsia" w:ascii="宋体" w:hAnsi="宋体"/>
          <w:color w:val="000000" w:themeColor="text1"/>
          <w:szCs w:val="21"/>
        </w:rPr>
        <w:t>年出版。</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8. Williams, M.，语言教师心理学，外语教学与研究出版社，2011年出版。</w:t>
      </w:r>
    </w:p>
    <w:p>
      <w:pPr>
        <w:pStyle w:val="64"/>
        <w:spacing w:line="360" w:lineRule="auto"/>
        <w:rPr>
          <w:color w:val="000000" w:themeColor="text1"/>
        </w:rPr>
      </w:pPr>
      <w:r>
        <w:rPr>
          <w:rFonts w:hint="eastAsia"/>
          <w:color w:val="000000" w:themeColor="text1"/>
        </w:rPr>
        <w:br w:type="page"/>
      </w:r>
    </w:p>
    <w:p>
      <w:pPr>
        <w:adjustRightInd w:val="0"/>
        <w:snapToGrid w:val="0"/>
        <w:spacing w:line="300" w:lineRule="auto"/>
        <w:ind w:firstLine="2240" w:firstLineChars="700"/>
        <w:rPr>
          <w:rFonts w:ascii="仿宋" w:hAnsi="仿宋" w:eastAsia="仿宋" w:cs="仿宋"/>
          <w:b/>
          <w:color w:val="000000" w:themeColor="text1"/>
          <w:sz w:val="32"/>
          <w:szCs w:val="32"/>
        </w:rPr>
      </w:pPr>
      <w:r>
        <w:rPr>
          <w:rFonts w:hint="eastAsia" w:ascii="仿宋" w:hAnsi="仿宋" w:eastAsia="仿宋"/>
          <w:b/>
          <w:color w:val="000000" w:themeColor="text1"/>
          <w:sz w:val="32"/>
          <w:szCs w:val="32"/>
        </w:rPr>
        <w:t>浙江科技学院研究生</w:t>
      </w:r>
      <w:r>
        <w:rPr>
          <w:rFonts w:hint="eastAsia" w:ascii="仿宋" w:hAnsi="仿宋" w:eastAsia="仿宋" w:cs="仿宋"/>
          <w:b/>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国外中小学教育课程教学大纲</w:t>
      </w:r>
    </w:p>
    <w:p>
      <w:pPr>
        <w:pStyle w:val="64"/>
        <w:spacing w:line="360" w:lineRule="auto"/>
        <w:ind w:firstLine="422"/>
        <w:rPr>
          <w:color w:val="000000" w:themeColor="text1"/>
          <w:szCs w:val="21"/>
        </w:rPr>
      </w:pPr>
      <w:r>
        <w:rPr>
          <w:rFonts w:hint="eastAsia"/>
          <w:b/>
          <w:color w:val="000000" w:themeColor="text1"/>
          <w:szCs w:val="21"/>
        </w:rPr>
        <w:t>课程名称</w:t>
      </w:r>
      <w:r>
        <w:rPr>
          <w:rFonts w:hint="eastAsia"/>
          <w:color w:val="000000" w:themeColor="text1"/>
          <w:szCs w:val="21"/>
        </w:rPr>
        <w:t>：</w:t>
      </w:r>
      <w:r>
        <w:rPr>
          <w:rFonts w:hint="eastAsia"/>
          <w:color w:val="000000" w:themeColor="text1"/>
        </w:rPr>
        <w:t>国外中小学教育</w:t>
      </w:r>
      <w:r>
        <w:rPr>
          <w:rFonts w:hint="eastAsia"/>
          <w:color w:val="000000" w:themeColor="text1"/>
          <w:szCs w:val="21"/>
        </w:rPr>
        <w:t xml:space="preserve"> （英文翻译）  </w:t>
      </w:r>
      <w:r>
        <w:rPr>
          <w:color w:val="000000" w:themeColor="text1"/>
          <w:szCs w:val="21"/>
        </w:rPr>
        <w:t xml:space="preserve">   </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hint="eastAsia"/>
          <w:color w:val="000000" w:themeColor="text1"/>
          <w:sz w:val="21"/>
        </w:rPr>
        <w:t>150453101</w:t>
      </w:r>
      <w:r>
        <w:rPr>
          <w:color w:val="000000" w:themeColor="text1"/>
          <w:sz w:val="21"/>
        </w:rPr>
        <w:t>7</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：学科学位课扩展课程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widowControl/>
        <w:spacing w:line="360" w:lineRule="auto"/>
        <w:ind w:firstLine="625" w:firstLineChars="298"/>
        <w:jc w:val="left"/>
        <w:rPr>
          <w:rFonts w:cs="宋体"/>
          <w:color w:val="000000" w:themeColor="text1"/>
          <w:szCs w:val="21"/>
        </w:rPr>
      </w:pPr>
      <w:r>
        <w:rPr>
          <w:rFonts w:hint="eastAsia"/>
          <w:color w:val="000000" w:themeColor="text1"/>
        </w:rPr>
        <w:t>《国外中小学教育》</w:t>
      </w:r>
      <w:r>
        <w:rPr>
          <w:rFonts w:hint="eastAsia" w:cs="宋体"/>
          <w:color w:val="000000" w:themeColor="text1"/>
          <w:szCs w:val="21"/>
        </w:rPr>
        <w:t>是汉语国际教育硕士专业学生学位扩展课程之一。</w:t>
      </w:r>
      <w:r>
        <w:rPr>
          <w:rFonts w:hint="eastAsia"/>
          <w:bCs/>
          <w:color w:val="000000" w:themeColor="text1"/>
          <w:kern w:val="0"/>
          <w:szCs w:val="21"/>
        </w:rPr>
        <w:t>本课程的目的在于使学生了解</w:t>
      </w:r>
      <w:r>
        <w:rPr>
          <w:rFonts w:hint="eastAsia"/>
          <w:color w:val="000000" w:themeColor="text1"/>
        </w:rPr>
        <w:t>国外中小学的发展史、现状、教学方法、教育理念和存在</w:t>
      </w:r>
      <w:r>
        <w:rPr>
          <w:rFonts w:hint="eastAsia"/>
          <w:bCs/>
          <w:color w:val="000000" w:themeColor="text1"/>
          <w:kern w:val="0"/>
          <w:szCs w:val="21"/>
        </w:rPr>
        <w:t>问题等，让学生通过学习、比较分析不同国家的中小学教育理念和教学方法，博采众长，掌握先进的教育理念和教学方法，从而提高学生的中小学教学教育水平和能力，以适应国外中小学教学教育的需要，成为一名优秀的汉语教师。</w:t>
      </w:r>
      <w:r>
        <w:rPr>
          <w:rFonts w:hint="eastAsia" w:cs="宋体"/>
          <w:color w:val="000000" w:themeColor="text1"/>
          <w:szCs w:val="21"/>
        </w:rPr>
        <w:t>通过国外中小学教学和教育的课堂案例分析教学，使学生</w:t>
      </w:r>
      <w:r>
        <w:rPr>
          <w:rFonts w:cs="宋体"/>
          <w:color w:val="000000" w:themeColor="text1"/>
          <w:szCs w:val="21"/>
        </w:rPr>
        <w:t>系统全面地</w:t>
      </w:r>
      <w:r>
        <w:rPr>
          <w:rFonts w:hint="eastAsia" w:cs="宋体"/>
          <w:color w:val="000000" w:themeColor="text1"/>
          <w:szCs w:val="21"/>
        </w:rPr>
        <w:t>掌握国外中小学教学教育相关</w:t>
      </w:r>
      <w:r>
        <w:rPr>
          <w:rFonts w:cs="宋体"/>
          <w:color w:val="000000" w:themeColor="text1"/>
          <w:szCs w:val="21"/>
        </w:rPr>
        <w:t>方面的知识，以便胜任与</w:t>
      </w:r>
      <w:r>
        <w:rPr>
          <w:rFonts w:hint="eastAsia" w:cs="宋体"/>
          <w:color w:val="000000" w:themeColor="text1"/>
          <w:szCs w:val="21"/>
        </w:rPr>
        <w:t>汉语国际教育</w:t>
      </w:r>
      <w:r>
        <w:rPr>
          <w:rFonts w:cs="宋体"/>
          <w:color w:val="000000" w:themeColor="text1"/>
          <w:szCs w:val="21"/>
        </w:rPr>
        <w:t>有关的各种工作，并为深入研究</w:t>
      </w:r>
      <w:r>
        <w:rPr>
          <w:rFonts w:hint="eastAsia" w:cs="宋体"/>
          <w:color w:val="000000" w:themeColor="text1"/>
          <w:szCs w:val="21"/>
        </w:rPr>
        <w:t>中小学教育的能力</w:t>
      </w:r>
      <w:r>
        <w:rPr>
          <w:rFonts w:cs="宋体"/>
          <w:color w:val="000000" w:themeColor="text1"/>
          <w:szCs w:val="21"/>
        </w:rPr>
        <w:t>打下基础</w:t>
      </w:r>
      <w:r>
        <w:rPr>
          <w:rFonts w:hint="eastAsia" w:cs="宋体"/>
          <w:color w:val="000000" w:themeColor="text1"/>
          <w:szCs w:val="21"/>
        </w:rPr>
        <w:t>。</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spacing w:line="360" w:lineRule="auto"/>
        <w:ind w:firstLine="420" w:firstLineChars="200"/>
        <w:rPr>
          <w:bCs/>
          <w:color w:val="000000" w:themeColor="text1"/>
          <w:kern w:val="0"/>
          <w:szCs w:val="21"/>
        </w:rPr>
      </w:pPr>
      <w:r>
        <w:rPr>
          <w:color w:val="000000" w:themeColor="text1"/>
          <w:szCs w:val="21"/>
        </w:rPr>
        <w:t xml:space="preserve"> </w:t>
      </w:r>
      <w:r>
        <w:rPr>
          <w:rFonts w:hint="eastAsia" w:ascii="宋体" w:hAnsi="宋体" w:cs="宋体"/>
          <w:color w:val="000000" w:themeColor="text1"/>
          <w:kern w:val="0"/>
          <w:szCs w:val="21"/>
        </w:rPr>
        <w:t>本课程开设一个学期，结合汉语国际教育专业的特点，</w:t>
      </w:r>
      <w:r>
        <w:rPr>
          <w:rFonts w:hint="eastAsia"/>
          <w:color w:val="000000" w:themeColor="text1"/>
          <w:szCs w:val="21"/>
        </w:rPr>
        <w:t>适当介绍</w:t>
      </w:r>
      <w:r>
        <w:rPr>
          <w:rFonts w:hint="eastAsia"/>
          <w:color w:val="000000" w:themeColor="text1"/>
        </w:rPr>
        <w:t>国外中小学教育</w:t>
      </w:r>
      <w:r>
        <w:rPr>
          <w:rFonts w:hint="eastAsia"/>
          <w:color w:val="000000" w:themeColor="text1"/>
          <w:szCs w:val="21"/>
        </w:rPr>
        <w:t>研究的最新成果。</w:t>
      </w:r>
      <w:r>
        <w:rPr>
          <w:rFonts w:hint="eastAsia" w:ascii="宋体" w:hAnsi="宋体" w:cs="宋体"/>
          <w:color w:val="000000" w:themeColor="text1"/>
          <w:kern w:val="0"/>
          <w:szCs w:val="21"/>
        </w:rPr>
        <w:t>并力求贯彻理论联系实际的原则，</w:t>
      </w:r>
      <w:r>
        <w:rPr>
          <w:rFonts w:hint="eastAsia"/>
          <w:bCs/>
          <w:color w:val="000000" w:themeColor="text1"/>
          <w:kern w:val="0"/>
          <w:szCs w:val="21"/>
        </w:rPr>
        <w:t>介绍</w:t>
      </w:r>
      <w:r>
        <w:rPr>
          <w:rFonts w:hint="eastAsia"/>
          <w:color w:val="000000" w:themeColor="text1"/>
          <w:szCs w:val="21"/>
        </w:rPr>
        <w:t>国外中小学教育</w:t>
      </w:r>
      <w:r>
        <w:rPr>
          <w:rFonts w:hint="eastAsia"/>
          <w:bCs/>
          <w:color w:val="000000" w:themeColor="text1"/>
          <w:kern w:val="0"/>
          <w:szCs w:val="21"/>
        </w:rPr>
        <w:t>的基本原理、概念、</w:t>
      </w:r>
      <w:r>
        <w:rPr>
          <w:rFonts w:hint="eastAsia"/>
          <w:color w:val="000000" w:themeColor="text1"/>
        </w:rPr>
        <w:t>存在</w:t>
      </w:r>
      <w:r>
        <w:rPr>
          <w:rFonts w:hint="eastAsia"/>
          <w:bCs/>
          <w:color w:val="000000" w:themeColor="text1"/>
          <w:kern w:val="0"/>
          <w:szCs w:val="21"/>
        </w:rPr>
        <w:t>问题</w:t>
      </w:r>
      <w:r>
        <w:rPr>
          <w:rFonts w:hint="eastAsia" w:ascii="宋体" w:hAnsi="宋体" w:cs="宋体"/>
          <w:color w:val="000000" w:themeColor="text1"/>
          <w:kern w:val="0"/>
          <w:szCs w:val="21"/>
        </w:rPr>
        <w:t>及其应对策略等。</w:t>
      </w:r>
      <w:r>
        <w:rPr>
          <w:rFonts w:hint="eastAsia"/>
          <w:bCs/>
          <w:color w:val="000000" w:themeColor="text1"/>
          <w:kern w:val="0"/>
          <w:szCs w:val="21"/>
        </w:rPr>
        <w:t>本课程共设置</w:t>
      </w:r>
      <w:r>
        <w:rPr>
          <w:rFonts w:hint="eastAsia" w:ascii="宋体" w:hAnsi="宋体"/>
          <w:bCs/>
          <w:color w:val="000000" w:themeColor="text1"/>
          <w:szCs w:val="21"/>
        </w:rPr>
        <w:t>五个专题，内容覆盖四大洲、多个不同语言国家。每个专题从国家概况、国家的中小学教育简况、语言政策、具体实施、特色、评价等方面进行讲解。通过不同国家语言教育的比较学习，让学生从不同语言国家了解该国家语言教育的特点，开阔学生语言学习视野，了解不同国家语言教育政策，为中华文化的传播和汉语国际推广提供借鉴。</w:t>
      </w:r>
      <w:r>
        <w:rPr>
          <w:rFonts w:hint="eastAsia"/>
          <w:bCs/>
          <w:color w:val="000000" w:themeColor="text1"/>
          <w:kern w:val="0"/>
          <w:szCs w:val="21"/>
        </w:rPr>
        <w:t>本课程</w:t>
      </w:r>
      <w:r>
        <w:rPr>
          <w:rFonts w:hint="eastAsia" w:ascii="宋体" w:hAnsi="宋体" w:cs="宋体"/>
          <w:color w:val="000000" w:themeColor="text1"/>
          <w:kern w:val="0"/>
          <w:szCs w:val="21"/>
        </w:rPr>
        <w:t>以课堂教师讲授为主，适当辅以课堂讨论和练习。</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ascii="宋体" w:hAnsi="宋体"/>
                <w:bCs/>
                <w:color w:val="000000" w:themeColor="text1"/>
                <w:szCs w:val="21"/>
              </w:rPr>
              <w:t>专题一：美国中小学语言教育研究</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ascii="宋体" w:hAnsi="宋体"/>
                <w:bCs/>
                <w:color w:val="000000" w:themeColor="text1"/>
                <w:szCs w:val="21"/>
              </w:rPr>
              <w:t>专题二：法国中小学语言教育研究</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w:t>
            </w:r>
            <w:r>
              <w:rPr>
                <w:rFonts w:hint="eastAsia" w:ascii="宋体" w:hAnsi="宋体"/>
                <w:bCs/>
                <w:color w:val="000000" w:themeColor="text1"/>
                <w:szCs w:val="21"/>
              </w:rPr>
              <w:t xml:space="preserve">专题三：澳大利亚中小学语言教育研究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ascii="宋体" w:hAnsi="宋体"/>
                <w:bCs/>
                <w:color w:val="000000" w:themeColor="text1"/>
                <w:szCs w:val="21"/>
              </w:rPr>
              <w:t>专题四：日本中小学语言教育研究</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w:t>
            </w:r>
            <w:r>
              <w:rPr>
                <w:rFonts w:hint="eastAsia" w:ascii="宋体" w:hAnsi="宋体"/>
                <w:bCs/>
                <w:color w:val="000000" w:themeColor="text1"/>
                <w:szCs w:val="21"/>
              </w:rPr>
              <w:t>专题五：东南亚国家中小学语言教育研究</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16</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 ）；考查（√）</w:t>
      </w:r>
    </w:p>
    <w:p>
      <w:pPr>
        <w:spacing w:line="360" w:lineRule="auto"/>
        <w:ind w:left="420" w:leftChars="200" w:firstLine="420" w:firstLineChars="200"/>
        <w:rPr>
          <w:rFonts w:ascii="宋体" w:hAnsi="宋体"/>
          <w:color w:val="000000" w:themeColor="text1"/>
          <w:szCs w:val="21"/>
        </w:rPr>
      </w:pPr>
      <w:r>
        <w:rPr>
          <w:rFonts w:hint="eastAsia" w:ascii="宋体" w:hAnsi="宋体"/>
          <w:color w:val="000000" w:themeColor="text1"/>
          <w:szCs w:val="21"/>
        </w:rPr>
        <w:t xml:space="preserve">考核采用平时阶段性作业检测和期末课程论文相结合的方式进行，平时成绩包括学习态度、课后习题、读书报告、课堂内外讨论等占50％，期末试卷考试成绩占50％。 </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4"/>
        <w:spacing w:line="360" w:lineRule="auto"/>
        <w:rPr>
          <w:color w:val="000000" w:themeColor="text1"/>
        </w:rPr>
      </w:pPr>
      <w:r>
        <w:rPr>
          <w:rFonts w:hint="eastAsia"/>
          <w:color w:val="000000" w:themeColor="text1"/>
        </w:rPr>
        <w:t>总评成绩构成：平时考核（</w:t>
      </w:r>
      <w:r>
        <w:rPr>
          <w:color w:val="000000" w:themeColor="text1"/>
        </w:rPr>
        <w:t>50</w:t>
      </w:r>
      <w:r>
        <w:rPr>
          <w:rFonts w:hint="eastAsia"/>
          <w:color w:val="000000" w:themeColor="text1"/>
        </w:rPr>
        <w:t>）％；期末考核（</w:t>
      </w:r>
      <w:r>
        <w:rPr>
          <w:color w:val="000000" w:themeColor="text1"/>
        </w:rPr>
        <w:t>50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无</w:t>
      </w:r>
    </w:p>
    <w:p>
      <w:pPr>
        <w:spacing w:line="360" w:lineRule="auto"/>
        <w:ind w:firstLine="420" w:firstLineChars="200"/>
        <w:rPr>
          <w:rFonts w:ascii="宋体" w:hAnsi="宋体"/>
          <w:b/>
          <w:color w:val="000000" w:themeColor="text1"/>
          <w:szCs w:val="21"/>
        </w:rPr>
      </w:pPr>
      <w:r>
        <w:rPr>
          <w:rFonts w:hint="eastAsia" w:ascii="宋体" w:hAnsi="宋体"/>
          <w:b/>
          <w:color w:val="000000" w:themeColor="text1"/>
          <w:szCs w:val="21"/>
        </w:rPr>
        <w:t>参考资料：</w:t>
      </w:r>
    </w:p>
    <w:p>
      <w:pPr>
        <w:numPr>
          <w:ilvl w:val="0"/>
          <w:numId w:val="11"/>
        </w:num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张蓉，走近外国中小学教育：花朵是这样绽放的，天津教育出版社，2006年；</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2.姜勇，国外学前教育学基本文献讲读，北京大学出版社，2013年出版；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3. 李颖等，国外幼儿教育考察，福建教育出版社，2013</w:t>
      </w:r>
      <w:r>
        <w:rPr>
          <w:rFonts w:hint="eastAsia" w:ascii="宋体" w:hAnsi="宋体"/>
          <w:color w:val="000000" w:themeColor="text1"/>
          <w:szCs w:val="21"/>
        </w:rPr>
        <w:t>年出版；</w:t>
      </w:r>
    </w:p>
    <w:p>
      <w:pPr>
        <w:spacing w:line="360" w:lineRule="auto"/>
        <w:ind w:firstLine="420" w:firstLineChars="200"/>
        <w:rPr>
          <w:rFonts w:ascii="宋体" w:hAnsi="宋体"/>
          <w:color w:val="000000" w:themeColor="text1"/>
          <w:szCs w:val="21"/>
        </w:rPr>
      </w:pPr>
      <w:r>
        <w:rPr>
          <w:rFonts w:hint="eastAsia" w:ascii="宋体" w:hAnsi="宋体"/>
          <w:bCs/>
          <w:color w:val="000000" w:themeColor="text1"/>
          <w:szCs w:val="21"/>
        </w:rPr>
        <w:t>4. 刘新科，国外教育发展史纲，中国人民出版社，2007</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5. 臧爱珍，中外中小学教学参考书比较研究，人民教育出版社，2006</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6. 夏鹏翔，日本小学教育生态微观察，南京师范大学出版社，2017</w:t>
      </w:r>
      <w:r>
        <w:rPr>
          <w:rFonts w:hint="eastAsia" w:ascii="宋体" w:hAnsi="宋体"/>
          <w:color w:val="000000" w:themeColor="text1"/>
          <w:szCs w:val="21"/>
        </w:rPr>
        <w:t>年出版；</w:t>
      </w:r>
    </w:p>
    <w:p>
      <w:pPr>
        <w:spacing w:line="360" w:lineRule="auto"/>
        <w:ind w:firstLine="420" w:firstLineChars="200"/>
        <w:rPr>
          <w:rFonts w:ascii="宋体" w:hAnsi="宋体"/>
          <w:bCs/>
          <w:color w:val="000000" w:themeColor="text1"/>
          <w:szCs w:val="21"/>
        </w:rPr>
      </w:pPr>
      <w:r>
        <w:rPr>
          <w:rFonts w:hint="eastAsia" w:ascii="宋体" w:hAnsi="宋体"/>
          <w:bCs/>
          <w:color w:val="000000" w:themeColor="text1"/>
          <w:szCs w:val="21"/>
        </w:rPr>
        <w:t>7. 代旭， 国外教育杂谈，吉林出版集团有限责任公司，2012</w:t>
      </w:r>
      <w:r>
        <w:rPr>
          <w:rFonts w:hint="eastAsia" w:ascii="宋体" w:hAnsi="宋体"/>
          <w:color w:val="000000" w:themeColor="text1"/>
          <w:szCs w:val="21"/>
        </w:rPr>
        <w:t>年出版；</w:t>
      </w:r>
    </w:p>
    <w:p>
      <w:pPr>
        <w:spacing w:line="360" w:lineRule="auto"/>
        <w:ind w:firstLine="420" w:firstLineChars="200"/>
        <w:rPr>
          <w:rFonts w:ascii="宋体" w:hAnsi="宋体"/>
          <w:color w:val="000000" w:themeColor="text1"/>
          <w:szCs w:val="21"/>
        </w:rPr>
      </w:pPr>
      <w:r>
        <w:rPr>
          <w:rFonts w:hint="eastAsia" w:ascii="宋体" w:hAnsi="宋体"/>
          <w:bCs/>
          <w:color w:val="000000" w:themeColor="text1"/>
          <w:szCs w:val="21"/>
        </w:rPr>
        <w:t>8. 黄济等， 小学教育学（第二版），人民教育出版社，2008</w:t>
      </w:r>
      <w:r>
        <w:rPr>
          <w:rFonts w:hint="eastAsia" w:ascii="宋体" w:hAnsi="宋体"/>
          <w:color w:val="000000" w:themeColor="text1"/>
          <w:szCs w:val="21"/>
        </w:rPr>
        <w:t>年出版；</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9. 蔡敏,美国中小学教师评价及典型案例,北京大学出版社，2009年出版；</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10.单中惠 ，外国中小学教育问题史，山东教育出版社，2005年出版。</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br w:type="page"/>
      </w:r>
    </w:p>
    <w:p>
      <w:pPr>
        <w:pStyle w:val="2"/>
        <w:spacing w:line="360" w:lineRule="auto"/>
        <w:rPr>
          <w:color w:val="000000" w:themeColor="text1"/>
          <w:sz w:val="32"/>
          <w:szCs w:val="32"/>
        </w:rPr>
      </w:pPr>
      <w:r>
        <w:rPr>
          <w:rFonts w:hint="eastAsia" w:ascii="仿宋" w:hAnsi="仿宋" w:eastAsia="仿宋"/>
          <w:color w:val="000000" w:themeColor="text1"/>
          <w:sz w:val="32"/>
          <w:szCs w:val="32"/>
        </w:rPr>
        <w:t>浙江科技学院研究生</w:t>
      </w:r>
      <w:r>
        <w:rPr>
          <w:rFonts w:hint="eastAsia" w:ascii="仿宋" w:hAnsi="仿宋" w:eastAsia="仿宋" w:cs="仿宋"/>
          <w:color w:val="000000" w:themeColor="text1"/>
          <w:sz w:val="32"/>
          <w:szCs w:val="32"/>
        </w:rPr>
        <w:t>学位课程教学大纲</w:t>
      </w:r>
    </w:p>
    <w:p>
      <w:pPr>
        <w:pStyle w:val="2"/>
        <w:spacing w:line="360" w:lineRule="auto"/>
        <w:rPr>
          <w:color w:val="000000" w:themeColor="text1"/>
          <w:sz w:val="32"/>
          <w:szCs w:val="32"/>
        </w:rPr>
      </w:pPr>
      <w:r>
        <w:rPr>
          <w:rFonts w:hint="eastAsia"/>
          <w:color w:val="000000" w:themeColor="text1"/>
          <w:sz w:val="32"/>
          <w:szCs w:val="32"/>
        </w:rPr>
        <w:t>汉语国际推广专题课程教学大纲</w:t>
      </w:r>
    </w:p>
    <w:p>
      <w:pPr>
        <w:spacing w:line="360" w:lineRule="auto"/>
        <w:ind w:firstLine="420" w:firstLineChars="200"/>
        <w:rPr>
          <w:rFonts w:ascii="Times New Roman" w:hAnsi="Times New Roman" w:eastAsia="仿宋_GB2312" w:cs="Times New Roman"/>
          <w:color w:val="000000" w:themeColor="text1"/>
          <w:sz w:val="24"/>
          <w:szCs w:val="24"/>
        </w:rPr>
      </w:pPr>
      <w:r>
        <w:rPr>
          <w:rFonts w:hint="eastAsia"/>
          <w:b/>
          <w:color w:val="000000" w:themeColor="text1"/>
          <w:szCs w:val="21"/>
        </w:rPr>
        <w:t>课程名称</w:t>
      </w:r>
      <w:r>
        <w:rPr>
          <w:rFonts w:hint="eastAsia"/>
          <w:color w:val="000000" w:themeColor="text1"/>
          <w:szCs w:val="21"/>
        </w:rPr>
        <w:t>：</w:t>
      </w:r>
      <w:r>
        <w:rPr>
          <w:rFonts w:hint="eastAsia" w:cs="宋体"/>
          <w:color w:val="000000" w:themeColor="text1"/>
          <w:szCs w:val="21"/>
        </w:rPr>
        <w:t xml:space="preserve">汉语国际推广专题/ </w:t>
      </w:r>
      <w:r>
        <w:rPr>
          <w:rFonts w:ascii="Times New Roman" w:hAnsi="Times New Roman" w:eastAsia="仿宋_GB2312" w:cs="Times New Roman"/>
          <w:color w:val="000000" w:themeColor="text1"/>
          <w:sz w:val="24"/>
          <w:szCs w:val="24"/>
        </w:rPr>
        <w:t>Designated Subject of Chinese International Promotion</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hint="eastAsia"/>
          <w:color w:val="000000" w:themeColor="text1"/>
          <w:sz w:val="21"/>
        </w:rPr>
        <w:t>1504531014</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：学科学位课扩展课程</w:t>
      </w:r>
    </w:p>
    <w:p>
      <w:pPr>
        <w:pStyle w:val="62"/>
        <w:spacing w:line="36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spacing w:line="36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pStyle w:val="62"/>
        <w:spacing w:line="360" w:lineRule="auto"/>
        <w:ind w:firstLine="420"/>
        <w:rPr>
          <w:color w:val="000000" w:themeColor="text1"/>
          <w:sz w:val="21"/>
          <w:szCs w:val="21"/>
        </w:rPr>
      </w:pPr>
      <w:r>
        <w:rPr>
          <w:rFonts w:hint="eastAsia"/>
          <w:color w:val="000000" w:themeColor="text1"/>
          <w:sz w:val="21"/>
          <w:szCs w:val="21"/>
        </w:rPr>
        <w:t>本课程以汉语国际教育专业的培养目标和要求、汉语国际教育推广与发展情况、国际交流等方面的问题为研究和介绍对象，旨在让学生对汉语国际教育这门学科的培养目标、师资要求标准、课堂教学要求与评估以及汉语国际教育的发展历史、现状和发展趋势等建立起框架性的认知，并在此基础上，结合管理工具和案例等，针对汉语国际教育和推广中的实际管理问题，进行讲解、分析和讨论。以便于学生们为将来更好地从事汉语国际教育事业工作打下良好的基础。</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2"/>
        <w:spacing w:line="360" w:lineRule="auto"/>
        <w:ind w:firstLine="480"/>
        <w:rPr>
          <w:color w:val="000000" w:themeColor="text1"/>
          <w:sz w:val="21"/>
          <w:szCs w:val="21"/>
        </w:rPr>
      </w:pPr>
      <w:r>
        <w:rPr>
          <w:color w:val="000000" w:themeColor="text1"/>
          <w:szCs w:val="21"/>
        </w:rPr>
        <w:t xml:space="preserve"> </w:t>
      </w:r>
      <w:r>
        <w:rPr>
          <w:rFonts w:hint="eastAsia"/>
          <w:color w:val="000000" w:themeColor="text1"/>
          <w:sz w:val="21"/>
          <w:szCs w:val="21"/>
        </w:rPr>
        <w:t>本课程开设一个学期，结合汉语国际教育专业的特点，适当介绍汉语国际教育推广方面的最新成果。课程主要内容：</w:t>
      </w:r>
    </w:p>
    <w:p>
      <w:pPr>
        <w:pStyle w:val="62"/>
        <w:spacing w:line="360" w:lineRule="auto"/>
        <w:ind w:firstLine="420"/>
        <w:rPr>
          <w:color w:val="000000" w:themeColor="text1"/>
          <w:sz w:val="21"/>
          <w:szCs w:val="21"/>
        </w:rPr>
      </w:pPr>
      <w:r>
        <w:rPr>
          <w:rFonts w:hint="eastAsia"/>
          <w:color w:val="000000" w:themeColor="text1"/>
          <w:sz w:val="21"/>
          <w:szCs w:val="21"/>
        </w:rPr>
        <w:t>1.</w:t>
      </w:r>
      <w:r>
        <w:rPr>
          <w:rFonts w:hint="eastAsia"/>
          <w:color w:val="000000" w:themeColor="text1"/>
          <w:sz w:val="21"/>
          <w:szCs w:val="21"/>
        </w:rPr>
        <w:tab/>
      </w:r>
      <w:r>
        <w:rPr>
          <w:rFonts w:hint="eastAsia"/>
          <w:color w:val="000000" w:themeColor="text1"/>
          <w:sz w:val="21"/>
          <w:szCs w:val="21"/>
        </w:rPr>
        <w:t>汉语国际教育培养目标</w:t>
      </w:r>
    </w:p>
    <w:p>
      <w:pPr>
        <w:pStyle w:val="62"/>
        <w:spacing w:line="360" w:lineRule="auto"/>
        <w:ind w:firstLine="420"/>
        <w:rPr>
          <w:color w:val="000000" w:themeColor="text1"/>
          <w:sz w:val="21"/>
          <w:szCs w:val="21"/>
        </w:rPr>
      </w:pPr>
      <w:r>
        <w:rPr>
          <w:rFonts w:hint="eastAsia"/>
          <w:color w:val="000000" w:themeColor="text1"/>
          <w:sz w:val="21"/>
          <w:szCs w:val="21"/>
        </w:rPr>
        <w:t>2.</w:t>
      </w:r>
      <w:r>
        <w:rPr>
          <w:rFonts w:hint="eastAsia"/>
          <w:color w:val="000000" w:themeColor="text1"/>
          <w:sz w:val="21"/>
          <w:szCs w:val="21"/>
        </w:rPr>
        <w:tab/>
      </w:r>
      <w:r>
        <w:rPr>
          <w:rFonts w:hint="eastAsia"/>
          <w:color w:val="000000" w:themeColor="text1"/>
          <w:sz w:val="21"/>
          <w:szCs w:val="21"/>
        </w:rPr>
        <w:t>汉语课堂的教学要求与课堂管理</w:t>
      </w:r>
    </w:p>
    <w:p>
      <w:pPr>
        <w:pStyle w:val="62"/>
        <w:spacing w:line="360" w:lineRule="auto"/>
        <w:ind w:firstLine="420"/>
        <w:rPr>
          <w:color w:val="000000" w:themeColor="text1"/>
          <w:sz w:val="21"/>
          <w:szCs w:val="21"/>
        </w:rPr>
      </w:pPr>
      <w:r>
        <w:rPr>
          <w:rFonts w:hint="eastAsia"/>
          <w:color w:val="000000" w:themeColor="text1"/>
          <w:sz w:val="21"/>
          <w:szCs w:val="21"/>
        </w:rPr>
        <w:t>3.</w:t>
      </w:r>
      <w:r>
        <w:rPr>
          <w:rFonts w:hint="eastAsia"/>
          <w:color w:val="000000" w:themeColor="text1"/>
          <w:sz w:val="21"/>
          <w:szCs w:val="21"/>
        </w:rPr>
        <w:tab/>
      </w:r>
      <w:r>
        <w:rPr>
          <w:rFonts w:hint="eastAsia"/>
          <w:color w:val="000000" w:themeColor="text1"/>
          <w:sz w:val="21"/>
          <w:szCs w:val="21"/>
        </w:rPr>
        <w:t>孔子学院与汉语教师志愿者项目</w:t>
      </w:r>
    </w:p>
    <w:p>
      <w:pPr>
        <w:pStyle w:val="62"/>
        <w:spacing w:line="360" w:lineRule="auto"/>
        <w:ind w:firstLine="420"/>
        <w:rPr>
          <w:color w:val="000000" w:themeColor="text1"/>
          <w:sz w:val="21"/>
          <w:szCs w:val="21"/>
        </w:rPr>
      </w:pPr>
      <w:r>
        <w:rPr>
          <w:rFonts w:hint="eastAsia"/>
          <w:color w:val="000000" w:themeColor="text1"/>
          <w:sz w:val="21"/>
          <w:szCs w:val="21"/>
        </w:rPr>
        <w:t>4.   汉语教师的从业标准与要求</w:t>
      </w:r>
    </w:p>
    <w:p>
      <w:pPr>
        <w:pStyle w:val="62"/>
        <w:spacing w:line="360" w:lineRule="auto"/>
        <w:ind w:firstLine="420"/>
        <w:rPr>
          <w:color w:val="000000" w:themeColor="text1"/>
          <w:sz w:val="21"/>
          <w:szCs w:val="21"/>
        </w:rPr>
      </w:pPr>
      <w:r>
        <w:rPr>
          <w:rFonts w:hint="eastAsia"/>
          <w:color w:val="000000" w:themeColor="text1"/>
          <w:sz w:val="21"/>
          <w:szCs w:val="21"/>
        </w:rPr>
        <w:t>5.   海外汉语教师的文化适应</w:t>
      </w:r>
    </w:p>
    <w:p>
      <w:pPr>
        <w:spacing w:line="360" w:lineRule="auto"/>
        <w:ind w:firstLine="420" w:firstLineChars="200"/>
        <w:rPr>
          <w:bCs/>
          <w:color w:val="000000" w:themeColor="text1"/>
          <w:kern w:val="0"/>
          <w:szCs w:val="21"/>
        </w:rPr>
      </w:pP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color w:val="000000" w:themeColor="text1"/>
                <w:szCs w:val="21"/>
              </w:rPr>
              <w:t>汉语国际教育培养目标</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color w:val="000000" w:themeColor="text1"/>
                <w:szCs w:val="21"/>
              </w:rPr>
              <w:t>汉语课堂的教学要求与课堂管理</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s="宋体"/>
                <w:color w:val="000000" w:themeColor="text1"/>
                <w:szCs w:val="21"/>
              </w:rPr>
              <w:t xml:space="preserve">    </w:t>
            </w:r>
            <w:r>
              <w:rPr>
                <w:rFonts w:hint="eastAsia"/>
                <w:color w:val="000000" w:themeColor="text1"/>
                <w:szCs w:val="21"/>
              </w:rPr>
              <w:t>孔子学院与汉语教师志愿者项目</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cs="宋体"/>
                <w:color w:val="000000" w:themeColor="text1"/>
                <w:szCs w:val="21"/>
              </w:rPr>
            </w:pPr>
            <w:r>
              <w:rPr>
                <w:rFonts w:hint="eastAsia"/>
                <w:color w:val="000000" w:themeColor="text1"/>
                <w:szCs w:val="21"/>
              </w:rPr>
              <w:t>汉语教师的从业标准与要求</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ind w:firstLine="210" w:firstLineChars="100"/>
              <w:rPr>
                <w:rFonts w:cs="宋体"/>
                <w:color w:val="000000" w:themeColor="text1"/>
                <w:szCs w:val="21"/>
              </w:rPr>
            </w:pPr>
            <w:r>
              <w:rPr>
                <w:rFonts w:hint="eastAsia" w:cs="宋体"/>
                <w:color w:val="000000" w:themeColor="text1"/>
                <w:szCs w:val="21"/>
              </w:rPr>
              <w:t xml:space="preserve">  </w:t>
            </w:r>
            <w:r>
              <w:rPr>
                <w:rFonts w:hint="eastAsia"/>
                <w:color w:val="000000" w:themeColor="text1"/>
                <w:szCs w:val="21"/>
              </w:rPr>
              <w:t>海外汉语教师的文化适应</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16</w:t>
            </w:r>
          </w:p>
        </w:tc>
      </w:tr>
    </w:tbl>
    <w:p>
      <w:pPr>
        <w:pStyle w:val="63"/>
        <w:spacing w:line="360" w:lineRule="auto"/>
        <w:outlineLvl w:val="0"/>
        <w:rPr>
          <w:color w:val="000000" w:themeColor="text1"/>
          <w:szCs w:val="24"/>
        </w:rPr>
      </w:pPr>
    </w:p>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 ）；考查（√）</w:t>
      </w:r>
    </w:p>
    <w:p>
      <w:pPr>
        <w:spacing w:line="360" w:lineRule="auto"/>
        <w:ind w:left="420" w:leftChars="200" w:firstLine="420" w:firstLineChars="200"/>
        <w:rPr>
          <w:rFonts w:ascii="宋体" w:hAnsi="宋体"/>
          <w:color w:val="000000" w:themeColor="text1"/>
          <w:szCs w:val="21"/>
        </w:rPr>
      </w:pPr>
      <w:r>
        <w:rPr>
          <w:rFonts w:hint="eastAsia" w:ascii="宋体" w:hAnsi="宋体"/>
          <w:color w:val="000000" w:themeColor="text1"/>
          <w:szCs w:val="21"/>
        </w:rPr>
        <w:t xml:space="preserve">考核采用平时阶段性作业检测和期末课程论文相结合的方式进行，平时成绩包括学习态度、课后习题、读书报告、课堂内外讨论等占50％，期末试卷考试成绩占50％。 </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4"/>
        <w:spacing w:line="360" w:lineRule="auto"/>
        <w:rPr>
          <w:color w:val="000000" w:themeColor="text1"/>
        </w:rPr>
      </w:pPr>
      <w:r>
        <w:rPr>
          <w:rFonts w:hint="eastAsia"/>
          <w:color w:val="000000" w:themeColor="text1"/>
        </w:rPr>
        <w:t>总评成绩构成：平时考核（</w:t>
      </w:r>
      <w:r>
        <w:rPr>
          <w:color w:val="000000" w:themeColor="text1"/>
        </w:rPr>
        <w:t>50</w:t>
      </w:r>
      <w:r>
        <w:rPr>
          <w:rFonts w:hint="eastAsia"/>
          <w:color w:val="000000" w:themeColor="text1"/>
        </w:rPr>
        <w:t>）％；期末考核（</w:t>
      </w:r>
      <w:r>
        <w:rPr>
          <w:color w:val="000000" w:themeColor="text1"/>
        </w:rPr>
        <w:t>50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6"/>
        <w:spacing w:line="360" w:lineRule="auto"/>
        <w:rPr>
          <w:color w:val="000000" w:themeColor="text1"/>
        </w:rPr>
      </w:pPr>
      <w:r>
        <w:rPr>
          <w:rFonts w:hint="eastAsia"/>
          <w:color w:val="000000" w:themeColor="text1"/>
        </w:rPr>
        <w:t>建议教材：</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无</w:t>
      </w:r>
    </w:p>
    <w:p>
      <w:pPr>
        <w:spacing w:line="360" w:lineRule="auto"/>
        <w:ind w:firstLine="420" w:firstLineChars="200"/>
        <w:rPr>
          <w:rFonts w:ascii="宋体" w:hAnsi="宋体"/>
          <w:b/>
          <w:color w:val="000000" w:themeColor="text1"/>
          <w:szCs w:val="21"/>
        </w:rPr>
      </w:pPr>
      <w:r>
        <w:rPr>
          <w:rFonts w:hint="eastAsia" w:ascii="宋体" w:hAnsi="宋体"/>
          <w:b/>
          <w:color w:val="000000" w:themeColor="text1"/>
          <w:szCs w:val="21"/>
        </w:rPr>
        <w:t>参考资料：</w:t>
      </w:r>
    </w:p>
    <w:p>
      <w:pPr>
        <w:pStyle w:val="65"/>
        <w:spacing w:line="360" w:lineRule="auto"/>
        <w:rPr>
          <w:color w:val="000000" w:themeColor="text1"/>
        </w:rPr>
      </w:pPr>
      <w:r>
        <w:rPr>
          <w:rFonts w:hint="eastAsia"/>
          <w:color w:val="000000" w:themeColor="text1"/>
        </w:rPr>
        <w:t>1.国家汉语国际推广领导小组办公室，《国际汉语教师标准》，外语教学与研究出版社，2007年。</w:t>
      </w:r>
    </w:p>
    <w:p>
      <w:pPr>
        <w:pStyle w:val="65"/>
        <w:spacing w:line="360" w:lineRule="auto"/>
        <w:rPr>
          <w:color w:val="000000" w:themeColor="text1"/>
        </w:rPr>
      </w:pPr>
      <w:r>
        <w:rPr>
          <w:rFonts w:hint="eastAsia"/>
          <w:color w:val="000000" w:themeColor="text1"/>
        </w:rPr>
        <w:t>2.王国安等，《汉语国际推广与中国文化》，学林出版社，2008年。</w:t>
      </w:r>
    </w:p>
    <w:p>
      <w:pPr>
        <w:pStyle w:val="65"/>
        <w:spacing w:line="360" w:lineRule="auto"/>
        <w:rPr>
          <w:color w:val="000000" w:themeColor="text1"/>
        </w:rPr>
      </w:pPr>
      <w:r>
        <w:rPr>
          <w:rFonts w:hint="eastAsia"/>
          <w:color w:val="000000" w:themeColor="text1"/>
        </w:rPr>
        <w:t>3.李盛兵等，《汉语高效率国际推广研究》，科学出版社，2013年。</w:t>
      </w:r>
    </w:p>
    <w:p>
      <w:pPr>
        <w:pStyle w:val="65"/>
        <w:spacing w:line="360" w:lineRule="auto"/>
        <w:rPr>
          <w:color w:val="000000" w:themeColor="text1"/>
        </w:rPr>
      </w:pPr>
      <w:r>
        <w:rPr>
          <w:rFonts w:hint="eastAsia"/>
          <w:color w:val="000000" w:themeColor="text1"/>
        </w:rPr>
        <w:t>4.李泉（2006）《对外汉语课程、大纲与教学模式研究》，北京：商务印书馆。</w:t>
      </w:r>
    </w:p>
    <w:p>
      <w:pPr>
        <w:pStyle w:val="65"/>
        <w:spacing w:line="360" w:lineRule="auto"/>
        <w:rPr>
          <w:color w:val="000000" w:themeColor="text1"/>
        </w:rPr>
      </w:pPr>
      <w:r>
        <w:rPr>
          <w:rFonts w:hint="eastAsia"/>
          <w:color w:val="000000" w:themeColor="text1"/>
        </w:rPr>
        <w:t>5.张和生（2006）《对外汉语教师素质与教师培训研究》，北京：商务印书馆。</w:t>
      </w:r>
    </w:p>
    <w:p>
      <w:pPr>
        <w:pStyle w:val="65"/>
        <w:spacing w:line="360" w:lineRule="auto"/>
        <w:rPr>
          <w:color w:val="000000" w:themeColor="text1"/>
        </w:rPr>
      </w:pPr>
      <w:r>
        <w:rPr>
          <w:rFonts w:hint="eastAsia"/>
          <w:color w:val="000000" w:themeColor="text1"/>
        </w:rPr>
        <w:br w:type="page"/>
      </w:r>
    </w:p>
    <w:p>
      <w:pPr>
        <w:pStyle w:val="2"/>
        <w:rPr>
          <w:color w:val="000000" w:themeColor="text1"/>
          <w:sz w:val="32"/>
          <w:szCs w:val="32"/>
        </w:rPr>
      </w:pPr>
      <w:r>
        <w:rPr>
          <w:rFonts w:hint="eastAsia" w:ascii="仿宋" w:hAnsi="仿宋" w:eastAsia="仿宋"/>
          <w:color w:val="000000" w:themeColor="text1"/>
          <w:sz w:val="32"/>
          <w:szCs w:val="32"/>
        </w:rPr>
        <w:t>浙江科技学院研究生</w:t>
      </w:r>
      <w:r>
        <w:rPr>
          <w:rFonts w:hint="eastAsia" w:ascii="仿宋" w:hAnsi="仿宋" w:eastAsia="仿宋" w:cs="仿宋"/>
          <w:color w:val="000000" w:themeColor="text1"/>
          <w:sz w:val="32"/>
          <w:szCs w:val="32"/>
        </w:rPr>
        <w:t>学位课程教学大纲</w:t>
      </w:r>
    </w:p>
    <w:p>
      <w:pPr>
        <w:pStyle w:val="2"/>
        <w:rPr>
          <w:color w:val="000000" w:themeColor="text1"/>
          <w:sz w:val="32"/>
          <w:szCs w:val="32"/>
        </w:rPr>
      </w:pPr>
      <w:r>
        <w:rPr>
          <w:rFonts w:hint="eastAsia"/>
          <w:color w:val="000000" w:themeColor="text1"/>
          <w:sz w:val="32"/>
          <w:szCs w:val="32"/>
        </w:rPr>
        <w:t>课程设计与实践课程教学大纲</w:t>
      </w:r>
    </w:p>
    <w:p>
      <w:pPr>
        <w:pStyle w:val="62"/>
        <w:spacing w:line="360" w:lineRule="auto"/>
        <w:ind w:firstLine="422"/>
        <w:rPr>
          <w:rFonts w:ascii="宋体" w:hAnsi="宋体"/>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w:t>
      </w:r>
      <w:r>
        <w:rPr>
          <w:rFonts w:hint="eastAsia" w:ascii="宋体" w:hAnsi="宋体"/>
          <w:color w:val="000000" w:themeColor="text1"/>
          <w:sz w:val="21"/>
          <w:szCs w:val="21"/>
        </w:rPr>
        <w:t>课程设计与实践     Course Design and Practice</w:t>
      </w:r>
    </w:p>
    <w:p>
      <w:pPr>
        <w:pStyle w:val="62"/>
        <w:spacing w:line="360" w:lineRule="auto"/>
        <w:ind w:firstLine="422"/>
        <w:rPr>
          <w:color w:val="000000" w:themeColor="text1"/>
          <w:sz w:val="21"/>
          <w:szCs w:val="21"/>
        </w:rPr>
      </w:pPr>
      <w:r>
        <w:rPr>
          <w:rFonts w:hint="eastAsia"/>
          <w:b/>
          <w:color w:val="000000" w:themeColor="text1"/>
          <w:sz w:val="21"/>
          <w:szCs w:val="21"/>
        </w:rPr>
        <w:t>课程代码</w:t>
      </w:r>
      <w:r>
        <w:rPr>
          <w:rFonts w:hint="eastAsia"/>
          <w:color w:val="000000" w:themeColor="text1"/>
          <w:sz w:val="21"/>
          <w:szCs w:val="21"/>
        </w:rPr>
        <w:t>：</w:t>
      </w:r>
      <w:r>
        <w:rPr>
          <w:rFonts w:hint="eastAsia" w:ascii="宋体" w:hAnsi="宋体"/>
          <w:color w:val="000000" w:themeColor="text1"/>
          <w:sz w:val="21"/>
          <w:szCs w:val="21"/>
        </w:rPr>
        <w:t xml:space="preserve">1504533015 </w:t>
      </w:r>
    </w:p>
    <w:p>
      <w:pPr>
        <w:pStyle w:val="62"/>
        <w:spacing w:line="36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 训练课程</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48</w:t>
      </w:r>
    </w:p>
    <w:p>
      <w:pPr>
        <w:pStyle w:val="62"/>
        <w:spacing w:line="360" w:lineRule="auto"/>
        <w:ind w:firstLine="422"/>
        <w:rPr>
          <w:rFonts w:ascii="宋体" w:hAnsi="宋体" w:eastAsia="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3</w:t>
      </w:r>
    </w:p>
    <w:p>
      <w:pPr>
        <w:pStyle w:val="62"/>
        <w:tabs>
          <w:tab w:val="left" w:pos="3420"/>
        </w:tabs>
        <w:spacing w:line="360" w:lineRule="auto"/>
        <w:ind w:firstLine="422"/>
        <w:rPr>
          <w:rFonts w:ascii="宋体" w:hAnsi="宋体"/>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w:t>
      </w:r>
      <w:r>
        <w:rPr>
          <w:rFonts w:hint="eastAsia" w:ascii="宋体" w:hAnsi="宋体"/>
          <w:color w:val="000000" w:themeColor="text1"/>
          <w:sz w:val="21"/>
          <w:szCs w:val="21"/>
        </w:rPr>
        <w:t>汉语作为第二语言教学；第二语言习得；国外汉语课堂教学案例；外语教育心理学；</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w:t>
      </w:r>
      <w:r>
        <w:rPr>
          <w:rFonts w:hint="eastAsia" w:ascii="宋体" w:hAnsi="宋体"/>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 xml:space="preserve">： </w:t>
      </w:r>
      <w:r>
        <w:rPr>
          <w:rFonts w:hint="eastAsia" w:ascii="宋体" w:hAnsi="宋体"/>
          <w:color w:val="000000" w:themeColor="text1"/>
          <w:sz w:val="21"/>
          <w:szCs w:val="21"/>
        </w:rPr>
        <w:t>汉语国际教育专业硕士</w:t>
      </w:r>
    </w:p>
    <w:p>
      <w:pPr>
        <w:pStyle w:val="63"/>
        <w:spacing w:line="360" w:lineRule="auto"/>
        <w:ind w:firstLine="422"/>
        <w:outlineLvl w:val="0"/>
        <w:rPr>
          <w:color w:val="000000" w:themeColor="text1"/>
          <w:sz w:val="21"/>
          <w:szCs w:val="21"/>
        </w:rPr>
      </w:pPr>
      <w:r>
        <w:rPr>
          <w:rFonts w:hint="eastAsia"/>
          <w:color w:val="000000" w:themeColor="text1"/>
          <w:sz w:val="21"/>
          <w:szCs w:val="21"/>
        </w:rPr>
        <w:t>一、课程的性质、目的和任务</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w:t>
      </w:r>
      <w:r>
        <w:rPr>
          <w:rFonts w:hint="eastAsia"/>
          <w:color w:val="000000" w:themeColor="text1"/>
          <w:szCs w:val="21"/>
        </w:rPr>
        <w:t>课程设计与实践</w:t>
      </w:r>
      <w:r>
        <w:rPr>
          <w:rFonts w:hint="eastAsia" w:ascii="宋体" w:hAnsi="宋体"/>
          <w:color w:val="000000" w:themeColor="text1"/>
          <w:szCs w:val="21"/>
        </w:rPr>
        <w:t>》是汉语国际教育硕士专业学生学位训练课程之一。课程传授学生课程设计的理论知识，培养学生的实践应用能力。课程综合各学习理论、教学理论等，运用系统方法分析课程设计相关教学问题、确定教学目标、建立解决教学问题的策略方案、评价试行结果。本课程是一门以系统方法为基本手段，以教与学的理论为依据，使学生掌握课程设计及其教学效果最优化的实训课程。</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学生通过各项实训深入领会课程设计的基本原理，学会从整体上设计、试行和评价课程教学系统和教学过程，初步具备应用课程教学系统设计的方法解决教学实际问题的能力。</w:t>
      </w:r>
    </w:p>
    <w:p>
      <w:pPr>
        <w:pStyle w:val="63"/>
        <w:spacing w:line="360" w:lineRule="auto"/>
        <w:ind w:firstLine="422"/>
        <w:outlineLvl w:val="0"/>
        <w:rPr>
          <w:color w:val="000000" w:themeColor="text1"/>
          <w:sz w:val="21"/>
          <w:szCs w:val="21"/>
        </w:rPr>
      </w:pPr>
      <w:r>
        <w:rPr>
          <w:rFonts w:hint="eastAsia"/>
          <w:color w:val="000000" w:themeColor="text1"/>
          <w:sz w:val="21"/>
          <w:szCs w:val="21"/>
        </w:rPr>
        <w:t>二、教学内容及教学基本要求</w:t>
      </w:r>
    </w:p>
    <w:p>
      <w:pPr>
        <w:spacing w:line="360" w:lineRule="auto"/>
        <w:ind w:firstLine="420" w:firstLineChars="200"/>
        <w:rPr>
          <w:rFonts w:ascii="宋体" w:hAnsi="宋体"/>
          <w:color w:val="000000" w:themeColor="text1"/>
          <w:szCs w:val="21"/>
        </w:rPr>
      </w:pPr>
      <w:r>
        <w:rPr>
          <w:rFonts w:hint="eastAsia" w:ascii="宋体" w:hAnsi="宋体"/>
          <w:color w:val="000000" w:themeColor="text1"/>
          <w:szCs w:val="21"/>
        </w:rPr>
        <w:t>本</w:t>
      </w:r>
      <w:r>
        <w:rPr>
          <w:rFonts w:ascii="宋体" w:hAnsi="宋体"/>
          <w:color w:val="000000" w:themeColor="text1"/>
          <w:szCs w:val="21"/>
        </w:rPr>
        <w:t>课</w:t>
      </w:r>
      <w:r>
        <w:rPr>
          <w:rFonts w:hint="eastAsia" w:ascii="宋体" w:hAnsi="宋体"/>
          <w:color w:val="000000" w:themeColor="text1"/>
          <w:szCs w:val="21"/>
        </w:rPr>
        <w:t>程课程设计为统领，重点围绕</w:t>
      </w:r>
      <w:r>
        <w:rPr>
          <w:rFonts w:ascii="宋体" w:hAnsi="宋体"/>
          <w:color w:val="000000" w:themeColor="text1"/>
          <w:szCs w:val="21"/>
        </w:rPr>
        <w:t>教学调查与分析</w:t>
      </w:r>
      <w:r>
        <w:rPr>
          <w:rFonts w:hint="eastAsia" w:ascii="宋体" w:hAnsi="宋体"/>
          <w:color w:val="000000" w:themeColor="text1"/>
          <w:szCs w:val="21"/>
        </w:rPr>
        <w:t>、</w:t>
      </w:r>
      <w:r>
        <w:rPr>
          <w:rFonts w:ascii="宋体" w:hAnsi="宋体"/>
          <w:color w:val="000000" w:themeColor="text1"/>
          <w:szCs w:val="21"/>
        </w:rPr>
        <w:t>课堂观察与实践</w:t>
      </w:r>
      <w:r>
        <w:rPr>
          <w:rFonts w:hint="eastAsia" w:ascii="宋体" w:hAnsi="宋体"/>
          <w:color w:val="000000" w:themeColor="text1"/>
          <w:szCs w:val="21"/>
        </w:rPr>
        <w:t>、</w:t>
      </w:r>
      <w:r>
        <w:rPr>
          <w:rFonts w:ascii="宋体" w:hAnsi="宋体"/>
          <w:color w:val="000000" w:themeColor="text1"/>
          <w:szCs w:val="21"/>
        </w:rPr>
        <w:t>教学测试与评估</w:t>
      </w:r>
      <w:r>
        <w:rPr>
          <w:rFonts w:hint="eastAsia" w:ascii="宋体" w:hAnsi="宋体"/>
          <w:color w:val="000000" w:themeColor="text1"/>
          <w:szCs w:val="21"/>
        </w:rPr>
        <w:t>展开实训，</w:t>
      </w:r>
      <w:r>
        <w:rPr>
          <w:rFonts w:ascii="宋体" w:hAnsi="宋体"/>
          <w:color w:val="000000" w:themeColor="text1"/>
          <w:szCs w:val="21"/>
        </w:rPr>
        <w:t>采用</w:t>
      </w:r>
      <w:r>
        <w:rPr>
          <w:rFonts w:hint="eastAsia" w:ascii="宋体" w:hAnsi="宋体"/>
          <w:color w:val="000000" w:themeColor="text1"/>
          <w:szCs w:val="21"/>
        </w:rPr>
        <w:t>要点展示、教师精讲、问题解决、模拟练习、成果展示五步法进行，课堂讲授围绕汉语课程设计</w:t>
      </w:r>
      <w:r>
        <w:rPr>
          <w:rFonts w:ascii="宋体" w:hAnsi="宋体"/>
          <w:color w:val="000000" w:themeColor="text1"/>
          <w:szCs w:val="21"/>
        </w:rPr>
        <w:t>与</w:t>
      </w:r>
      <w:r>
        <w:rPr>
          <w:rFonts w:hint="eastAsia" w:ascii="宋体" w:hAnsi="宋体"/>
          <w:color w:val="000000" w:themeColor="text1"/>
          <w:szCs w:val="21"/>
        </w:rPr>
        <w:t>课程教学，课外进行</w:t>
      </w:r>
      <w:r>
        <w:rPr>
          <w:rFonts w:ascii="宋体" w:hAnsi="宋体"/>
          <w:color w:val="000000" w:themeColor="text1"/>
          <w:szCs w:val="21"/>
        </w:rPr>
        <w:t>相关调查及设计</w:t>
      </w:r>
      <w:r>
        <w:rPr>
          <w:rFonts w:hint="eastAsia" w:ascii="宋体" w:hAnsi="宋体"/>
          <w:color w:val="000000" w:themeColor="text1"/>
          <w:szCs w:val="21"/>
        </w:rPr>
        <w:t>，在课堂上展示设计和分析成果，组织课堂讨论。</w:t>
      </w:r>
    </w:p>
    <w:p>
      <w:pPr>
        <w:ind w:firstLine="420" w:firstLineChars="200"/>
        <w:rPr>
          <w:color w:val="000000" w:themeColor="text1"/>
          <w:szCs w:val="24"/>
        </w:rPr>
      </w:pPr>
    </w:p>
    <w:p>
      <w:pPr>
        <w:ind w:firstLine="420" w:firstLineChars="200"/>
        <w:rPr>
          <w:b/>
          <w:color w:val="000000" w:themeColor="text1"/>
          <w:szCs w:val="24"/>
        </w:rPr>
      </w:pPr>
      <w:r>
        <w:rPr>
          <w:rFonts w:hint="eastAsia"/>
          <w:b/>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color w:val="000000" w:themeColor="text1"/>
                <w:szCs w:val="21"/>
              </w:rPr>
            </w:pPr>
            <w:r>
              <w:rPr>
                <w:rFonts w:hint="eastAsia" w:cs="宋体" w:asciiTheme="minorEastAsia" w:hAnsiTheme="minorEastAsia"/>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第一讲    </w:t>
            </w:r>
            <w:r>
              <w:rPr>
                <w:rFonts w:hint="eastAsia" w:ascii="宋体" w:hAnsi="宋体"/>
                <w:color w:val="000000" w:themeColor="text1"/>
                <w:szCs w:val="21"/>
              </w:rPr>
              <w:t xml:space="preserve">汉语课程设计流程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第二讲    </w:t>
            </w:r>
            <w:r>
              <w:rPr>
                <w:rFonts w:hint="eastAsia" w:ascii="宋体" w:hAnsi="宋体"/>
                <w:color w:val="000000" w:themeColor="text1"/>
                <w:szCs w:val="21"/>
              </w:rPr>
              <w:t>教学对象和教学情景分析</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asciiTheme="minorEastAsia" w:hAnsiTheme="minorEastAsia"/>
                <w:bCs/>
                <w:color w:val="000000" w:themeColor="text1"/>
              </w:rPr>
              <w:t>第三讲    教学目标的制定</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 xml:space="preserve">第四讲    </w:t>
            </w:r>
            <w:r>
              <w:rPr>
                <w:rFonts w:hint="eastAsia" w:ascii="宋体" w:hAnsi="宋体"/>
                <w:color w:val="000000" w:themeColor="text1"/>
                <w:szCs w:val="21"/>
              </w:rPr>
              <w:t>汉语课程组织和设计</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jc w:val="left"/>
              <w:rPr>
                <w:rFonts w:cs="宋体" w:asciiTheme="minorEastAsia" w:hAnsiTheme="minorEastAsia"/>
                <w:color w:val="000000" w:themeColor="text1"/>
                <w:szCs w:val="21"/>
              </w:rPr>
            </w:pPr>
            <w:r>
              <w:rPr>
                <w:rFonts w:hint="eastAsia" w:asciiTheme="minorEastAsia" w:hAnsiTheme="minorEastAsia"/>
                <w:bCs/>
                <w:color w:val="000000" w:themeColor="text1"/>
              </w:rPr>
              <w:t>第五讲   汉语</w:t>
            </w:r>
            <w:r>
              <w:rPr>
                <w:rFonts w:hint="eastAsia" w:ascii="宋体" w:hAnsi="宋体"/>
                <w:color w:val="000000" w:themeColor="text1"/>
                <w:szCs w:val="21"/>
              </w:rPr>
              <w:t>语言测试与教学评估</w:t>
            </w:r>
            <w:r>
              <w:rPr>
                <w:rFonts w:hint="eastAsia" w:asciiTheme="minorEastAsia" w:hAnsiTheme="minorEastAsia"/>
                <w:bCs/>
                <w:color w:val="000000" w:themeColor="text1"/>
              </w:rPr>
              <w:t xml:space="preserve">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cs="宋体" w:asciiTheme="minorEastAsia" w:hAnsiTheme="minorEastAsia"/>
                <w:color w:val="000000" w:themeColor="text1"/>
                <w:szCs w:val="21"/>
              </w:rPr>
            </w:pPr>
            <w:r>
              <w:rPr>
                <w:rFonts w:hint="eastAsia" w:cs="宋体" w:asciiTheme="minorEastAsia" w:hAnsiTheme="minorEastAsia"/>
                <w:color w:val="000000" w:themeColor="text1"/>
                <w:szCs w:val="21"/>
              </w:rPr>
              <w:t>48</w:t>
            </w:r>
          </w:p>
        </w:tc>
      </w:tr>
    </w:tbl>
    <w:p>
      <w:pPr>
        <w:pStyle w:val="63"/>
        <w:spacing w:line="360" w:lineRule="auto"/>
        <w:ind w:firstLine="422"/>
        <w:outlineLvl w:val="0"/>
        <w:rPr>
          <w:color w:val="000000" w:themeColor="text1"/>
          <w:sz w:val="21"/>
          <w:szCs w:val="21"/>
        </w:rPr>
      </w:pPr>
      <w:r>
        <w:rPr>
          <w:rFonts w:hint="eastAsia"/>
          <w:color w:val="000000" w:themeColor="text1"/>
          <w:sz w:val="21"/>
          <w:szCs w:val="21"/>
        </w:rPr>
        <w:t>四、课程考核方法及要求</w:t>
      </w:r>
    </w:p>
    <w:p>
      <w:pPr>
        <w:pStyle w:val="64"/>
        <w:spacing w:line="360" w:lineRule="auto"/>
        <w:rPr>
          <w:rFonts w:asciiTheme="minorEastAsia" w:hAnsiTheme="minorEastAsia"/>
          <w:color w:val="000000" w:themeColor="text1"/>
        </w:rPr>
      </w:pPr>
      <w:r>
        <w:rPr>
          <w:rFonts w:asciiTheme="minorEastAsia" w:hAnsiTheme="minorEastAsia"/>
          <w:color w:val="000000" w:themeColor="text1"/>
        </w:rPr>
        <w:t>1</w:t>
      </w:r>
      <w:r>
        <w:rPr>
          <w:rFonts w:hint="eastAsia" w:asciiTheme="minorEastAsia" w:hAnsiTheme="minorEastAsia"/>
          <w:color w:val="000000" w:themeColor="text1"/>
        </w:rPr>
        <w:t>．考核方式：考试（）；考查（√）</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 xml:space="preserve">考核采用平时和期末课程设计作业结合的方式进行，平时成绩包括学习态度、课堂设计分析、课堂内外展示和分析、讨论等占50％，期末课程分析和设计的成绩占50％。 </w:t>
      </w:r>
    </w:p>
    <w:p>
      <w:pPr>
        <w:spacing w:line="360" w:lineRule="auto"/>
        <w:ind w:firstLine="420" w:firstLineChars="200"/>
        <w:rPr>
          <w:rFonts w:asciiTheme="minorEastAsia" w:hAnsiTheme="minorEastAsia"/>
          <w:color w:val="000000" w:themeColor="text1"/>
          <w:szCs w:val="21"/>
          <w:shd w:val="clear" w:color="auto" w:fill="FFFFFF"/>
        </w:rPr>
      </w:pPr>
      <w:r>
        <w:rPr>
          <w:rFonts w:asciiTheme="minorEastAsia" w:hAnsiTheme="minorEastAsia"/>
          <w:color w:val="000000" w:themeColor="text1"/>
          <w:szCs w:val="21"/>
          <w:shd w:val="clear" w:color="auto" w:fill="FFFFFF"/>
        </w:rPr>
        <w:t>2</w:t>
      </w:r>
      <w:r>
        <w:rPr>
          <w:rFonts w:hint="eastAsia" w:asciiTheme="minorEastAsia" w:hAnsiTheme="minorEastAsia"/>
          <w:color w:val="000000" w:themeColor="text1"/>
          <w:szCs w:val="21"/>
          <w:shd w:val="clear" w:color="auto" w:fill="FFFFFF"/>
        </w:rPr>
        <w:t>．成绩评定：</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计分制：百分制（√）；五级分制（）；两级分制（）</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总评成绩构成：平时考核（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）％；期末考核（</w:t>
      </w:r>
      <w:r>
        <w:rPr>
          <w:rFonts w:asciiTheme="minorEastAsia" w:hAnsiTheme="minorEastAsia"/>
          <w:color w:val="000000" w:themeColor="text1"/>
          <w:szCs w:val="21"/>
          <w:shd w:val="clear" w:color="auto" w:fill="FFFFFF"/>
        </w:rPr>
        <w:t>50</w:t>
      </w:r>
      <w:r>
        <w:rPr>
          <w:rFonts w:hint="eastAsia" w:asciiTheme="minorEastAsia" w:hAnsiTheme="minorEastAsia"/>
          <w:color w:val="000000" w:themeColor="text1"/>
          <w:szCs w:val="21"/>
          <w:shd w:val="clear" w:color="auto" w:fill="FFFFFF"/>
        </w:rPr>
        <w:t>）％</w:t>
      </w:r>
    </w:p>
    <w:p>
      <w:pPr>
        <w:pStyle w:val="63"/>
        <w:spacing w:line="360" w:lineRule="auto"/>
        <w:ind w:firstLine="422"/>
        <w:outlineLvl w:val="0"/>
        <w:rPr>
          <w:color w:val="000000" w:themeColor="text1"/>
          <w:sz w:val="21"/>
          <w:szCs w:val="21"/>
        </w:rPr>
      </w:pPr>
      <w:r>
        <w:rPr>
          <w:rFonts w:hint="eastAsia"/>
          <w:color w:val="000000" w:themeColor="text1"/>
          <w:sz w:val="21"/>
          <w:szCs w:val="21"/>
        </w:rPr>
        <w:t>五、建议教材及参考资料</w:t>
      </w:r>
    </w:p>
    <w:p>
      <w:pPr>
        <w:ind w:firstLine="210" w:firstLineChars="100"/>
        <w:rPr>
          <w:rFonts w:ascii="宋体" w:hAnsi="宋体"/>
          <w:b/>
          <w:color w:val="000000" w:themeColor="text1"/>
          <w:szCs w:val="21"/>
        </w:rPr>
      </w:pPr>
      <w:r>
        <w:rPr>
          <w:rFonts w:hint="eastAsia" w:ascii="宋体" w:hAnsi="宋体"/>
          <w:color w:val="000000" w:themeColor="text1"/>
          <w:szCs w:val="21"/>
        </w:rPr>
        <w:t xml:space="preserve">  </w:t>
      </w:r>
      <w:r>
        <w:rPr>
          <w:rFonts w:hint="eastAsia" w:ascii="宋体" w:hAnsi="宋体"/>
          <w:b/>
          <w:color w:val="000000" w:themeColor="text1"/>
          <w:szCs w:val="21"/>
        </w:rPr>
        <w:t>参考资料：</w:t>
      </w:r>
    </w:p>
    <w:p>
      <w:pPr>
        <w:ind w:firstLine="420" w:firstLineChars="200"/>
        <w:rPr>
          <w:rFonts w:ascii="宋体" w:hAnsi="宋体" w:cs="宋体"/>
          <w:color w:val="000000" w:themeColor="text1"/>
          <w:spacing w:val="8"/>
          <w:szCs w:val="21"/>
        </w:rPr>
      </w:pPr>
      <w:r>
        <w:rPr>
          <w:rFonts w:asciiTheme="minorEastAsia" w:hAnsiTheme="minorEastAsia"/>
          <w:color w:val="000000" w:themeColor="text1"/>
          <w:szCs w:val="21"/>
          <w:shd w:val="clear" w:color="auto" w:fill="FFFFFF"/>
        </w:rPr>
        <w:t>1</w:t>
      </w:r>
      <w:r>
        <w:rPr>
          <w:rFonts w:hint="eastAsia" w:asciiTheme="minorEastAsia" w:hAnsiTheme="minorEastAsia"/>
          <w:color w:val="000000" w:themeColor="text1"/>
          <w:szCs w:val="21"/>
          <w:shd w:val="clear" w:color="auto" w:fill="FFFFFF"/>
        </w:rPr>
        <w:t>.</w:t>
      </w:r>
      <w:r>
        <w:rPr>
          <w:rFonts w:hint="eastAsia" w:ascii="宋体" w:hAnsi="宋体" w:cs="宋体"/>
          <w:color w:val="000000" w:themeColor="text1"/>
          <w:spacing w:val="8"/>
          <w:szCs w:val="21"/>
        </w:rPr>
        <w:t>Renee Campoy《课堂问题分析与解决—成为反思型教师》，中国轻工业出版社，2007年。</w:t>
      </w:r>
    </w:p>
    <w:p>
      <w:pPr>
        <w:ind w:firstLine="420" w:firstLineChars="200"/>
        <w:rPr>
          <w:rFonts w:ascii="宋体" w:hAnsi="宋体" w:cs="宋体"/>
          <w:color w:val="000000" w:themeColor="text1"/>
          <w:szCs w:val="21"/>
        </w:rPr>
      </w:pPr>
      <w:r>
        <w:rPr>
          <w:rFonts w:hint="eastAsia" w:asciiTheme="minorEastAsia" w:hAnsiTheme="minorEastAsia"/>
          <w:color w:val="000000" w:themeColor="text1"/>
          <w:szCs w:val="21"/>
          <w:shd w:val="clear" w:color="auto" w:fill="FFFFFF"/>
        </w:rPr>
        <w:t>2.</w:t>
      </w:r>
      <w:r>
        <w:rPr>
          <w:rFonts w:hint="eastAsia" w:ascii="宋体" w:hAnsi="宋体" w:cs="宋体"/>
          <w:color w:val="000000" w:themeColor="text1"/>
          <w:szCs w:val="21"/>
        </w:rPr>
        <w:t>Ralph W. Tyler《课程与教学的基本原理》，中国轻工业出版社，2008年。</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3.</w:t>
      </w:r>
      <w:r>
        <w:rPr>
          <w:rFonts w:hint="eastAsia" w:ascii="宋体" w:hAnsi="宋体" w:cs="宋体"/>
          <w:color w:val="000000" w:themeColor="text1"/>
          <w:szCs w:val="21"/>
        </w:rPr>
        <w:t>F.迈克尔.康纳利，D.琼.克兰迪宁《教师成为课程研究者—经验叙事》，浙江教育出版社，2004年。</w:t>
      </w:r>
    </w:p>
    <w:p>
      <w:pPr>
        <w:spacing w:line="360" w:lineRule="auto"/>
        <w:ind w:firstLine="420" w:firstLineChars="200"/>
        <w:rPr>
          <w:rFonts w:asciiTheme="minorEastAsia" w:hAnsiTheme="minorEastAsia"/>
          <w:color w:val="000000" w:themeColor="text1"/>
          <w:szCs w:val="21"/>
          <w:shd w:val="clear" w:color="auto" w:fill="FFFFFF"/>
        </w:rPr>
      </w:pPr>
      <w:r>
        <w:rPr>
          <w:rFonts w:hint="eastAsia" w:asciiTheme="minorEastAsia" w:hAnsiTheme="minorEastAsia"/>
          <w:color w:val="000000" w:themeColor="text1"/>
          <w:szCs w:val="21"/>
          <w:shd w:val="clear" w:color="auto" w:fill="FFFFFF"/>
        </w:rPr>
        <w:t>4.</w:t>
      </w:r>
      <w:r>
        <w:rPr>
          <w:rFonts w:hint="eastAsia" w:ascii="宋体" w:hAnsi="宋体" w:cs="宋体"/>
          <w:color w:val="000000" w:themeColor="text1"/>
          <w:szCs w:val="21"/>
        </w:rPr>
        <w:t>加里• D •鲍里奇《有效教学方法》（第四版），江苏教育出版社，2002年。</w:t>
      </w:r>
      <w:r>
        <w:rPr>
          <w:rFonts w:hint="eastAsia" w:asciiTheme="minorEastAsia" w:hAnsiTheme="minorEastAsia"/>
          <w:color w:val="000000" w:themeColor="text1"/>
          <w:szCs w:val="21"/>
          <w:shd w:val="clear" w:color="auto" w:fill="FFFFFF"/>
        </w:rPr>
        <w:t xml:space="preserve"> </w:t>
      </w:r>
    </w:p>
    <w:p>
      <w:pPr>
        <w:spacing w:line="360" w:lineRule="auto"/>
        <w:ind w:firstLine="420" w:firstLineChars="200"/>
        <w:rPr>
          <w:rFonts w:ascii="宋体" w:hAnsi="宋体" w:cs="宋体"/>
          <w:color w:val="000000" w:themeColor="text1"/>
          <w:szCs w:val="21"/>
        </w:rPr>
      </w:pPr>
      <w:r>
        <w:rPr>
          <w:rFonts w:hint="eastAsia" w:asciiTheme="minorEastAsia" w:hAnsiTheme="minorEastAsia"/>
          <w:color w:val="000000" w:themeColor="text1"/>
          <w:szCs w:val="21"/>
          <w:shd w:val="clear" w:color="auto" w:fill="FFFFFF"/>
        </w:rPr>
        <w:t>5.</w:t>
      </w:r>
      <w:r>
        <w:rPr>
          <w:rFonts w:ascii="宋体" w:hAnsi="宋体" w:cs="宋体"/>
          <w:color w:val="000000" w:themeColor="text1"/>
          <w:szCs w:val="21"/>
        </w:rPr>
        <w:t>闻亭</w:t>
      </w:r>
      <w:r>
        <w:rPr>
          <w:rFonts w:hint="eastAsia" w:ascii="宋体" w:hAnsi="宋体" w:cs="宋体"/>
          <w:color w:val="000000" w:themeColor="text1"/>
          <w:szCs w:val="21"/>
        </w:rPr>
        <w:t>、</w:t>
      </w:r>
      <w:r>
        <w:rPr>
          <w:rFonts w:ascii="宋体" w:hAnsi="宋体" w:cs="宋体"/>
          <w:color w:val="000000" w:themeColor="text1"/>
          <w:szCs w:val="21"/>
        </w:rPr>
        <w:t>常爱军</w:t>
      </w:r>
      <w:r>
        <w:rPr>
          <w:rFonts w:hint="eastAsia" w:ascii="宋体" w:hAnsi="宋体" w:cs="宋体"/>
          <w:color w:val="000000" w:themeColor="text1"/>
          <w:szCs w:val="21"/>
        </w:rPr>
        <w:t>、</w:t>
      </w:r>
      <w:r>
        <w:rPr>
          <w:rFonts w:ascii="宋体" w:hAnsi="宋体" w:cs="宋体"/>
          <w:color w:val="000000" w:themeColor="text1"/>
          <w:szCs w:val="21"/>
        </w:rPr>
        <w:t>原绍锋</w:t>
      </w:r>
      <w:r>
        <w:rPr>
          <w:rFonts w:hint="eastAsia" w:ascii="宋体" w:hAnsi="宋体" w:cs="宋体"/>
          <w:color w:val="000000" w:themeColor="text1"/>
          <w:szCs w:val="21"/>
        </w:rPr>
        <w:t>《国际汉语课堂管理》，高等教育出版社，2013年。</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br w:type="page"/>
      </w:r>
    </w:p>
    <w:p>
      <w:pPr>
        <w:pStyle w:val="2"/>
        <w:rPr>
          <w:color w:val="000000" w:themeColor="text1"/>
          <w:sz w:val="32"/>
          <w:szCs w:val="32"/>
        </w:rPr>
      </w:pPr>
      <w:r>
        <w:rPr>
          <w:rFonts w:hint="eastAsia" w:ascii="仿宋" w:hAnsi="仿宋" w:eastAsia="仿宋"/>
          <w:color w:val="000000" w:themeColor="text1"/>
          <w:sz w:val="32"/>
          <w:szCs w:val="32"/>
        </w:rPr>
        <w:t>浙江科技学院研究生</w:t>
      </w:r>
      <w:r>
        <w:rPr>
          <w:rFonts w:hint="eastAsia" w:ascii="仿宋" w:hAnsi="仿宋" w:eastAsia="仿宋" w:cs="仿宋"/>
          <w:color w:val="000000" w:themeColor="text1"/>
          <w:sz w:val="32"/>
          <w:szCs w:val="32"/>
        </w:rPr>
        <w:t>学位课程教学大纲</w:t>
      </w:r>
    </w:p>
    <w:p>
      <w:pPr>
        <w:pStyle w:val="2"/>
        <w:rPr>
          <w:color w:val="000000" w:themeColor="text1"/>
          <w:sz w:val="32"/>
          <w:szCs w:val="32"/>
        </w:rPr>
      </w:pPr>
      <w:r>
        <w:rPr>
          <w:rFonts w:hint="eastAsia"/>
          <w:color w:val="000000" w:themeColor="text1"/>
          <w:sz w:val="32"/>
          <w:szCs w:val="32"/>
        </w:rPr>
        <w:t>涉外礼仪课程教学大纲</w:t>
      </w:r>
    </w:p>
    <w:p>
      <w:pPr>
        <w:pStyle w:val="62"/>
        <w:spacing w:line="48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 xml:space="preserve">：涉外礼仪  </w:t>
      </w:r>
      <w:r>
        <w:rPr>
          <w:color w:val="000000" w:themeColor="text1"/>
          <w:sz w:val="21"/>
          <w:szCs w:val="21"/>
        </w:rPr>
        <w:t xml:space="preserve"> </w:t>
      </w:r>
    </w:p>
    <w:p>
      <w:pPr>
        <w:pStyle w:val="62"/>
        <w:spacing w:line="480" w:lineRule="auto"/>
        <w:ind w:firstLine="422"/>
        <w:rPr>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：1504531018</w:t>
      </w:r>
    </w:p>
    <w:p>
      <w:pPr>
        <w:pStyle w:val="62"/>
        <w:spacing w:line="480" w:lineRule="auto"/>
        <w:ind w:firstLine="422"/>
        <w:rPr>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：学科学位课/选修</w:t>
      </w:r>
    </w:p>
    <w:p>
      <w:pPr>
        <w:pStyle w:val="62"/>
        <w:spacing w:line="480" w:lineRule="auto"/>
        <w:ind w:firstLine="422"/>
        <w:rPr>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spacing w:line="480" w:lineRule="auto"/>
        <w:ind w:firstLine="422"/>
        <w:rPr>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spacing w:line="48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48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48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spacing w:before="0" w:after="0" w:line="480" w:lineRule="auto"/>
        <w:ind w:firstLine="422"/>
        <w:outlineLvl w:val="0"/>
        <w:rPr>
          <w:color w:val="000000" w:themeColor="text1"/>
          <w:sz w:val="21"/>
          <w:szCs w:val="21"/>
        </w:rPr>
      </w:pPr>
      <w:r>
        <w:rPr>
          <w:rFonts w:hint="eastAsia"/>
          <w:color w:val="000000" w:themeColor="text1"/>
          <w:sz w:val="21"/>
          <w:szCs w:val="21"/>
        </w:rPr>
        <w:t>一、课程的性质、目的和任务</w:t>
      </w:r>
    </w:p>
    <w:p>
      <w:pPr>
        <w:pStyle w:val="65"/>
        <w:spacing w:line="480" w:lineRule="auto"/>
        <w:ind w:firstLine="420" w:firstLineChars="200"/>
        <w:rPr>
          <w:color w:val="000000" w:themeColor="text1"/>
          <w:szCs w:val="21"/>
        </w:rPr>
      </w:pPr>
      <w:r>
        <w:rPr>
          <w:rFonts w:hint="eastAsia"/>
          <w:color w:val="000000" w:themeColor="text1"/>
          <w:szCs w:val="21"/>
        </w:rPr>
        <w:t>《涉外礼仪》是汉语国际教育专业硕士学位课程扩展课程之一，为选修课。旨在培养学生理解并掌握国外一般礼仪，并能在未来的汉语国际教育中能入境随俗，具有在不同文化背景下从事汉语教学和文化传播的实践能力，形成开放性、国际化的思维模式和行为方式，提升其外事认知水平和人文素养。</w:t>
      </w:r>
    </w:p>
    <w:p>
      <w:pPr>
        <w:pStyle w:val="63"/>
        <w:spacing w:before="0" w:after="0" w:line="480" w:lineRule="auto"/>
        <w:ind w:firstLine="422"/>
        <w:outlineLvl w:val="0"/>
        <w:rPr>
          <w:color w:val="000000" w:themeColor="text1"/>
          <w:sz w:val="21"/>
          <w:szCs w:val="21"/>
        </w:rPr>
      </w:pPr>
      <w:r>
        <w:rPr>
          <w:rFonts w:hint="eastAsia"/>
          <w:color w:val="000000" w:themeColor="text1"/>
          <w:sz w:val="21"/>
          <w:szCs w:val="21"/>
        </w:rPr>
        <w:t xml:space="preserve"> 二、教学内容及教学基本要求</w:t>
      </w:r>
    </w:p>
    <w:p>
      <w:pPr>
        <w:pStyle w:val="65"/>
        <w:spacing w:line="480" w:lineRule="auto"/>
        <w:rPr>
          <w:color w:val="000000" w:themeColor="text1"/>
          <w:szCs w:val="21"/>
        </w:rPr>
      </w:pPr>
      <w:r>
        <w:rPr>
          <w:rFonts w:hint="eastAsia" w:ascii="宋体" w:hAnsi="宋体"/>
          <w:color w:val="000000" w:themeColor="text1"/>
          <w:szCs w:val="21"/>
        </w:rPr>
        <w:t>本课程既通过学生自主学习、分析案例、观看影像资料、参与小组讨论和展示等活动，</w:t>
      </w:r>
      <w:r>
        <w:rPr>
          <w:rFonts w:hint="eastAsia"/>
          <w:color w:val="000000" w:themeColor="text1"/>
          <w:szCs w:val="21"/>
        </w:rPr>
        <w:t>在知晓和熟悉国外一般礼仪知识的基础上，培养学生掌握国外礼仪的普适性规则，习得西方和东南亚诸国的餐桌礼仪、着装礼仪、接待礼仪等。通过教学和模拟交际练习，使学生提升自身的异域文化素养，能将所掌握的礼仪知识运用于教学实践中的跨文化交际活动。</w:t>
      </w:r>
    </w:p>
    <w:p>
      <w:pPr>
        <w:pStyle w:val="63"/>
        <w:spacing w:before="0" w:after="0" w:line="480" w:lineRule="auto"/>
        <w:ind w:firstLine="422"/>
        <w:outlineLvl w:val="0"/>
        <w:rPr>
          <w:color w:val="000000" w:themeColor="text1"/>
          <w:sz w:val="21"/>
          <w:szCs w:val="21"/>
        </w:rPr>
      </w:pPr>
      <w:r>
        <w:rPr>
          <w:rFonts w:hint="eastAsia"/>
          <w:color w:val="000000" w:themeColor="text1"/>
          <w:sz w:val="21"/>
          <w:szCs w:val="21"/>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rPr>
                <w:rFonts w:ascii="宋体" w:hAnsi="宋体" w:eastAsia="宋体" w:cs="宋体"/>
                <w:color w:val="000000" w:themeColor="text1"/>
                <w:szCs w:val="21"/>
              </w:rPr>
            </w:pPr>
            <w:r>
              <w:rPr>
                <w:rFonts w:hint="eastAsia" w:ascii="宋体" w:hAnsi="宋体" w:eastAsia="宋体" w:cs="宋体"/>
                <w:color w:val="000000" w:themeColor="text1"/>
                <w:szCs w:val="21"/>
              </w:rPr>
              <w:t>第一讲     涉外礼仪概述</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rPr>
                <w:rFonts w:ascii="宋体" w:hAnsi="宋体" w:eastAsia="宋体" w:cs="宋体"/>
                <w:color w:val="000000" w:themeColor="text1"/>
                <w:szCs w:val="21"/>
              </w:rPr>
            </w:pPr>
            <w:r>
              <w:rPr>
                <w:rFonts w:hint="eastAsia" w:ascii="宋体" w:hAnsi="宋体" w:eastAsia="宋体" w:cs="宋体"/>
                <w:color w:val="000000" w:themeColor="text1"/>
                <w:szCs w:val="21"/>
              </w:rPr>
              <w:t>第二讲    涉外交际中的态势语</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 第三讲     涉外着装礼仪 </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 第四讲     涉外餐桌礼仪</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rPr>
                <w:rFonts w:ascii="宋体" w:hAnsi="宋体" w:eastAsia="宋体" w:cs="宋体"/>
                <w:color w:val="000000" w:themeColor="text1"/>
                <w:szCs w:val="21"/>
              </w:rPr>
            </w:pPr>
            <w:r>
              <w:rPr>
                <w:rFonts w:hint="eastAsia" w:ascii="宋体" w:hAnsi="宋体" w:eastAsia="宋体" w:cs="宋体"/>
                <w:color w:val="000000" w:themeColor="text1"/>
                <w:szCs w:val="21"/>
              </w:rPr>
              <w:t xml:space="preserve"> 第五讲     涉外接待礼仪</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480" w:lineRule="auto"/>
              <w:jc w:val="center"/>
              <w:rPr>
                <w:rFonts w:ascii="宋体" w:hAnsi="宋体" w:eastAsia="宋体" w:cs="宋体"/>
                <w:color w:val="000000" w:themeColor="text1"/>
                <w:szCs w:val="21"/>
              </w:rPr>
            </w:pPr>
            <w:r>
              <w:rPr>
                <w:rFonts w:hint="eastAsia" w:ascii="宋体" w:hAnsi="宋体" w:eastAsia="宋体" w:cs="宋体"/>
                <w:color w:val="000000" w:themeColor="text1"/>
                <w:szCs w:val="21"/>
              </w:rPr>
              <w:t>16</w:t>
            </w:r>
          </w:p>
        </w:tc>
      </w:tr>
    </w:tbl>
    <w:p>
      <w:pPr>
        <w:pStyle w:val="63"/>
        <w:spacing w:before="0" w:after="0" w:line="480" w:lineRule="auto"/>
        <w:ind w:firstLine="422"/>
        <w:outlineLvl w:val="0"/>
        <w:rPr>
          <w:color w:val="000000" w:themeColor="text1"/>
          <w:sz w:val="21"/>
          <w:szCs w:val="21"/>
        </w:rPr>
      </w:pPr>
    </w:p>
    <w:p>
      <w:pPr>
        <w:pStyle w:val="63"/>
        <w:spacing w:before="0" w:after="0" w:line="480" w:lineRule="auto"/>
        <w:ind w:firstLine="422"/>
        <w:outlineLvl w:val="0"/>
        <w:rPr>
          <w:color w:val="000000" w:themeColor="text1"/>
          <w:sz w:val="21"/>
          <w:szCs w:val="21"/>
        </w:rPr>
      </w:pPr>
      <w:r>
        <w:rPr>
          <w:rFonts w:hint="eastAsia"/>
          <w:color w:val="000000" w:themeColor="text1"/>
          <w:sz w:val="21"/>
          <w:szCs w:val="21"/>
        </w:rPr>
        <w:t>四、课程考核方法及要求</w:t>
      </w:r>
    </w:p>
    <w:p>
      <w:pPr>
        <w:pStyle w:val="64"/>
        <w:spacing w:line="480" w:lineRule="auto"/>
        <w:rPr>
          <w:rFonts w:ascii="宋体" w:hAnsi="宋体" w:eastAsia="宋体"/>
          <w:color w:val="000000" w:themeColor="text1"/>
          <w:szCs w:val="21"/>
        </w:rPr>
      </w:pPr>
      <w:r>
        <w:rPr>
          <w:rFonts w:hint="eastAsia" w:ascii="宋体" w:hAnsi="宋体" w:eastAsia="宋体"/>
          <w:color w:val="000000" w:themeColor="text1"/>
          <w:szCs w:val="21"/>
        </w:rPr>
        <w:t>1．考核方式：考试（）；考查（√）</w:t>
      </w:r>
    </w:p>
    <w:p>
      <w:pPr>
        <w:pStyle w:val="64"/>
        <w:spacing w:line="480" w:lineRule="auto"/>
        <w:rPr>
          <w:rFonts w:ascii="宋体" w:hAnsi="宋体" w:eastAsia="宋体"/>
          <w:color w:val="000000" w:themeColor="text1"/>
          <w:szCs w:val="21"/>
        </w:rPr>
      </w:pPr>
      <w:r>
        <w:rPr>
          <w:rFonts w:hint="eastAsia" w:ascii="宋体" w:hAnsi="宋体" w:eastAsia="宋体"/>
          <w:color w:val="000000" w:themeColor="text1"/>
          <w:szCs w:val="21"/>
        </w:rPr>
        <w:t>2．成绩评定：</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计分制：百分制（√）；五级分制（）；两级分制（）</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总评成绩构成：平时考核（20）％；期末考核（80）％</w:t>
      </w:r>
    </w:p>
    <w:p>
      <w:pPr>
        <w:pStyle w:val="63"/>
        <w:spacing w:before="0" w:after="0" w:line="480" w:lineRule="auto"/>
        <w:ind w:firstLine="422"/>
        <w:outlineLvl w:val="0"/>
        <w:rPr>
          <w:rFonts w:ascii="宋体" w:hAnsi="宋体" w:eastAsia="宋体"/>
          <w:color w:val="000000" w:themeColor="text1"/>
          <w:sz w:val="21"/>
          <w:szCs w:val="21"/>
        </w:rPr>
      </w:pPr>
      <w:r>
        <w:rPr>
          <w:rFonts w:hint="eastAsia" w:ascii="宋体" w:hAnsi="宋体" w:eastAsia="宋体"/>
          <w:color w:val="000000" w:themeColor="text1"/>
          <w:sz w:val="21"/>
          <w:szCs w:val="21"/>
        </w:rPr>
        <w:t xml:space="preserve"> 五、建议教材及参考资料</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1.金正昆 《涉外礼仪教程》（第4版），中国人民大学出版社2010。</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2.尹敬湘，喻子敬 《涉外礼仪知识》，武汉大学出版社2010。</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3.中国人权发展基金会海外交流委员会 《涉外礼仪常识》，清华大学出版社2007。</w:t>
      </w:r>
    </w:p>
    <w:p>
      <w:pPr>
        <w:pStyle w:val="65"/>
        <w:spacing w:line="480" w:lineRule="auto"/>
        <w:rPr>
          <w:rFonts w:ascii="宋体" w:hAnsi="宋体" w:eastAsia="宋体"/>
          <w:color w:val="000000" w:themeColor="text1"/>
          <w:szCs w:val="21"/>
        </w:rPr>
      </w:pPr>
      <w:r>
        <w:rPr>
          <w:rFonts w:hint="eastAsia" w:ascii="宋体" w:hAnsi="宋体" w:eastAsia="宋体"/>
          <w:color w:val="000000" w:themeColor="text1"/>
          <w:szCs w:val="21"/>
        </w:rPr>
        <w:t>4.</w:t>
      </w:r>
      <w:r>
        <w:fldChar w:fldCharType="begin"/>
      </w:r>
      <w:r>
        <w:instrText xml:space="preserve"> HYPERLINK "http://book.jd.com/writer/%e9%87%91%e6%ad%a3%e6%98%86_1.html" \t "http://item.jd.com/_blank" </w:instrText>
      </w:r>
      <w:r>
        <w:fldChar w:fldCharType="separate"/>
      </w:r>
      <w:r>
        <w:rPr>
          <w:rFonts w:hint="eastAsia" w:ascii="宋体" w:hAnsi="宋体" w:eastAsia="宋体"/>
          <w:color w:val="000000" w:themeColor="text1"/>
          <w:szCs w:val="21"/>
        </w:rPr>
        <w:t>金正昆</w:t>
      </w:r>
      <w:r>
        <w:rPr>
          <w:rFonts w:hint="eastAsia" w:ascii="宋体" w:hAnsi="宋体" w:eastAsia="宋体"/>
          <w:color w:val="000000" w:themeColor="text1"/>
          <w:szCs w:val="21"/>
        </w:rPr>
        <w:fldChar w:fldCharType="end"/>
      </w:r>
      <w:r>
        <w:rPr>
          <w:rFonts w:hint="eastAsia" w:ascii="宋体" w:hAnsi="宋体" w:eastAsia="宋体"/>
          <w:color w:val="000000" w:themeColor="text1"/>
          <w:szCs w:val="21"/>
        </w:rPr>
        <w:t xml:space="preserve"> 《外事礼仪》（第5版），首都经济贸易大学出版社2015。</w:t>
      </w:r>
    </w:p>
    <w:p>
      <w:pPr>
        <w:spacing w:line="360" w:lineRule="auto"/>
        <w:ind w:firstLine="420" w:firstLineChars="200"/>
        <w:rPr>
          <w:rFonts w:ascii="宋体" w:hAnsi="宋体" w:cs="宋体"/>
          <w:color w:val="000000" w:themeColor="text1"/>
          <w:szCs w:val="21"/>
        </w:rPr>
      </w:pPr>
    </w:p>
    <w:p>
      <w:pPr>
        <w:pStyle w:val="2"/>
        <w:rPr>
          <w:color w:val="000000" w:themeColor="text1"/>
          <w:sz w:val="32"/>
          <w:szCs w:val="32"/>
        </w:rPr>
      </w:pPr>
      <w:r>
        <w:rPr>
          <w:rFonts w:hint="eastAsia"/>
          <w:color w:val="000000" w:themeColor="text1"/>
          <w:sz w:val="32"/>
          <w:szCs w:val="32"/>
        </w:rPr>
        <w:br w:type="page"/>
      </w:r>
    </w:p>
    <w:p>
      <w:pPr>
        <w:pStyle w:val="2"/>
        <w:rPr>
          <w:color w:val="000000" w:themeColor="text1"/>
          <w:sz w:val="32"/>
          <w:szCs w:val="32"/>
        </w:rPr>
      </w:pPr>
      <w:r>
        <w:rPr>
          <w:rFonts w:hint="eastAsia" w:ascii="仿宋" w:hAnsi="仿宋" w:eastAsia="仿宋"/>
          <w:color w:val="000000" w:themeColor="text1"/>
          <w:sz w:val="32"/>
          <w:szCs w:val="32"/>
        </w:rPr>
        <w:t>浙江科技学院研究生</w:t>
      </w:r>
      <w:r>
        <w:rPr>
          <w:rFonts w:hint="eastAsia" w:ascii="仿宋" w:hAnsi="仿宋" w:eastAsia="仿宋" w:cs="仿宋"/>
          <w:color w:val="000000" w:themeColor="text1"/>
          <w:sz w:val="32"/>
          <w:szCs w:val="32"/>
        </w:rPr>
        <w:t>学位课程教学大纲</w:t>
      </w:r>
    </w:p>
    <w:p>
      <w:pPr>
        <w:pStyle w:val="2"/>
        <w:rPr>
          <w:color w:val="000000" w:themeColor="text1"/>
          <w:sz w:val="32"/>
          <w:szCs w:val="32"/>
        </w:rPr>
      </w:pPr>
      <w:r>
        <w:rPr>
          <w:rFonts w:hint="eastAsia"/>
          <w:color w:val="000000" w:themeColor="text1"/>
          <w:sz w:val="32"/>
          <w:szCs w:val="32"/>
        </w:rPr>
        <w:t>国别汉语教学调查分析课程教学大纲</w:t>
      </w:r>
    </w:p>
    <w:p>
      <w:pPr>
        <w:pStyle w:val="62"/>
        <w:spacing w:line="360" w:lineRule="auto"/>
        <w:ind w:firstLine="422"/>
        <w:rPr>
          <w:color w:val="000000" w:themeColor="text1"/>
          <w:sz w:val="21"/>
          <w:szCs w:val="21"/>
        </w:rPr>
      </w:pPr>
      <w:r>
        <w:rPr>
          <w:rFonts w:hint="eastAsia"/>
          <w:b/>
          <w:color w:val="000000" w:themeColor="text1"/>
          <w:sz w:val="21"/>
          <w:szCs w:val="21"/>
        </w:rPr>
        <w:t>课程名称</w:t>
      </w:r>
      <w:r>
        <w:rPr>
          <w:rFonts w:hint="eastAsia"/>
          <w:color w:val="000000" w:themeColor="text1"/>
          <w:sz w:val="21"/>
          <w:szCs w:val="21"/>
        </w:rPr>
        <w:t xml:space="preserve">：国别汉语教学调查分析 </w:t>
      </w:r>
      <w:r>
        <w:rPr>
          <w:color w:val="000000" w:themeColor="text1"/>
          <w:sz w:val="21"/>
          <w:szCs w:val="21"/>
        </w:rPr>
        <w:t xml:space="preserve"> </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课程编号</w:t>
      </w:r>
      <w:r>
        <w:rPr>
          <w:rFonts w:hint="eastAsia"/>
          <w:color w:val="000000" w:themeColor="text1"/>
          <w:sz w:val="21"/>
          <w:szCs w:val="21"/>
        </w:rPr>
        <w:t>：1504531015</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课程类型</w:t>
      </w:r>
      <w:r>
        <w:rPr>
          <w:rFonts w:hint="eastAsia"/>
          <w:color w:val="000000" w:themeColor="text1"/>
          <w:sz w:val="21"/>
          <w:szCs w:val="21"/>
        </w:rPr>
        <w:t>：学科学位课/扩展课程</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总学时数</w:t>
      </w:r>
      <w:r>
        <w:rPr>
          <w:rFonts w:hint="eastAsia"/>
          <w:color w:val="000000" w:themeColor="text1"/>
          <w:sz w:val="21"/>
          <w:szCs w:val="21"/>
        </w:rPr>
        <w:t>：</w:t>
      </w:r>
      <w:r>
        <w:rPr>
          <w:color w:val="000000" w:themeColor="text1"/>
          <w:sz w:val="21"/>
          <w:szCs w:val="21"/>
        </w:rPr>
        <w:t xml:space="preserve"> </w:t>
      </w:r>
      <w:r>
        <w:rPr>
          <w:rFonts w:hint="eastAsia" w:ascii="宋体" w:hAnsi="宋体"/>
          <w:color w:val="000000" w:themeColor="text1"/>
          <w:sz w:val="21"/>
          <w:szCs w:val="21"/>
        </w:rPr>
        <w:t>16</w:t>
      </w:r>
    </w:p>
    <w:p>
      <w:pPr>
        <w:pStyle w:val="62"/>
        <w:spacing w:line="360" w:lineRule="auto"/>
        <w:ind w:firstLine="422"/>
        <w:rPr>
          <w:rFonts w:eastAsia="宋体"/>
          <w:color w:val="000000" w:themeColor="text1"/>
          <w:sz w:val="21"/>
          <w:szCs w:val="21"/>
        </w:rPr>
      </w:pPr>
      <w:r>
        <w:rPr>
          <w:rFonts w:hint="eastAsia"/>
          <w:b/>
          <w:color w:val="000000" w:themeColor="text1"/>
          <w:sz w:val="21"/>
          <w:szCs w:val="21"/>
        </w:rPr>
        <w:t xml:space="preserve">学  </w:t>
      </w:r>
      <w:r>
        <w:rPr>
          <w:b/>
          <w:color w:val="000000" w:themeColor="text1"/>
          <w:sz w:val="21"/>
          <w:szCs w:val="21"/>
        </w:rPr>
        <w:t xml:space="preserve">  </w:t>
      </w:r>
      <w:r>
        <w:rPr>
          <w:rFonts w:hint="eastAsia"/>
          <w:b/>
          <w:color w:val="000000" w:themeColor="text1"/>
          <w:sz w:val="21"/>
          <w:szCs w:val="21"/>
        </w:rPr>
        <w:t>分</w:t>
      </w:r>
      <w:r>
        <w:rPr>
          <w:rFonts w:hint="eastAsia"/>
          <w:color w:val="000000" w:themeColor="text1"/>
          <w:sz w:val="21"/>
          <w:szCs w:val="21"/>
        </w:rPr>
        <w:t>：</w:t>
      </w:r>
      <w:r>
        <w:rPr>
          <w:rFonts w:hint="eastAsia"/>
          <w:b/>
          <w:color w:val="000000" w:themeColor="text1"/>
          <w:sz w:val="21"/>
          <w:szCs w:val="21"/>
        </w:rPr>
        <w:t xml:space="preserve"> </w:t>
      </w:r>
      <w:r>
        <w:rPr>
          <w:rFonts w:hint="eastAsia" w:ascii="宋体" w:hAnsi="宋体"/>
          <w:color w:val="000000" w:themeColor="text1"/>
          <w:sz w:val="21"/>
          <w:szCs w:val="21"/>
        </w:rPr>
        <w:t>1</w:t>
      </w:r>
    </w:p>
    <w:p>
      <w:pPr>
        <w:pStyle w:val="62"/>
        <w:tabs>
          <w:tab w:val="left" w:pos="3420"/>
        </w:tabs>
        <w:spacing w:line="360" w:lineRule="auto"/>
        <w:ind w:firstLine="422"/>
        <w:rPr>
          <w:color w:val="000000" w:themeColor="text1"/>
          <w:sz w:val="21"/>
          <w:szCs w:val="21"/>
        </w:rPr>
      </w:pPr>
      <w:r>
        <w:rPr>
          <w:rFonts w:hint="eastAsia"/>
          <w:b/>
          <w:color w:val="000000" w:themeColor="text1"/>
          <w:sz w:val="21"/>
          <w:szCs w:val="21"/>
        </w:rPr>
        <w:t>先修课程</w:t>
      </w:r>
      <w:r>
        <w:rPr>
          <w:rFonts w:hint="eastAsia"/>
          <w:color w:val="000000" w:themeColor="text1"/>
          <w:sz w:val="21"/>
          <w:szCs w:val="21"/>
        </w:rPr>
        <w:t>：无</w:t>
      </w:r>
    </w:p>
    <w:p>
      <w:pPr>
        <w:pStyle w:val="62"/>
        <w:spacing w:line="360" w:lineRule="auto"/>
        <w:ind w:firstLine="422"/>
        <w:rPr>
          <w:color w:val="000000" w:themeColor="text1"/>
          <w:sz w:val="21"/>
          <w:szCs w:val="21"/>
        </w:rPr>
      </w:pPr>
      <w:r>
        <w:rPr>
          <w:rFonts w:hint="eastAsia"/>
          <w:b/>
          <w:color w:val="000000" w:themeColor="text1"/>
          <w:sz w:val="21"/>
          <w:szCs w:val="21"/>
        </w:rPr>
        <w:t>开课单位</w:t>
      </w:r>
      <w:r>
        <w:rPr>
          <w:rFonts w:hint="eastAsia"/>
          <w:color w:val="000000" w:themeColor="text1"/>
          <w:sz w:val="21"/>
          <w:szCs w:val="21"/>
        </w:rPr>
        <w:t>：人文与国际教育学院</w:t>
      </w:r>
    </w:p>
    <w:p>
      <w:pPr>
        <w:pStyle w:val="62"/>
        <w:spacing w:line="360" w:lineRule="auto"/>
        <w:ind w:firstLine="422"/>
        <w:rPr>
          <w:color w:val="000000" w:themeColor="text1"/>
          <w:sz w:val="21"/>
          <w:szCs w:val="21"/>
        </w:rPr>
      </w:pPr>
      <w:r>
        <w:rPr>
          <w:rFonts w:hint="eastAsia"/>
          <w:b/>
          <w:color w:val="000000" w:themeColor="text1"/>
          <w:sz w:val="21"/>
          <w:szCs w:val="21"/>
        </w:rPr>
        <w:t>面向学科</w:t>
      </w:r>
      <w:r>
        <w:rPr>
          <w:rFonts w:hint="eastAsia"/>
          <w:color w:val="000000" w:themeColor="text1"/>
          <w:sz w:val="21"/>
          <w:szCs w:val="21"/>
        </w:rPr>
        <w:t>：汉语国际教育专业硕士</w:t>
      </w:r>
    </w:p>
    <w:p>
      <w:pPr>
        <w:pStyle w:val="63"/>
        <w:spacing w:line="360" w:lineRule="auto"/>
        <w:outlineLvl w:val="0"/>
        <w:rPr>
          <w:color w:val="000000" w:themeColor="text1"/>
          <w:szCs w:val="24"/>
        </w:rPr>
      </w:pPr>
      <w:r>
        <w:rPr>
          <w:rFonts w:hint="eastAsia"/>
          <w:color w:val="000000" w:themeColor="text1"/>
          <w:szCs w:val="24"/>
        </w:rPr>
        <w:t>一、课程的性质、目的和任务</w:t>
      </w:r>
    </w:p>
    <w:p>
      <w:pPr>
        <w:pStyle w:val="65"/>
        <w:spacing w:line="360" w:lineRule="auto"/>
        <w:ind w:firstLine="420" w:firstLineChars="200"/>
        <w:rPr>
          <w:color w:val="000000" w:themeColor="text1"/>
          <w:szCs w:val="21"/>
        </w:rPr>
      </w:pPr>
      <w:r>
        <w:rPr>
          <w:rFonts w:hint="eastAsia"/>
          <w:color w:val="000000" w:themeColor="text1"/>
          <w:szCs w:val="21"/>
        </w:rPr>
        <w:t>《国别化汉语教学调查分析》是为汉语国际教育硕士专业学位来华留学生开设的一门扩展选修课程。在当前汉语走向世界的趋势下，各国各层次学习汉语的人越来越多。由于母语和文化背景以及学习环境等因素的影响，汉语学习者的学习特点各有不同。这门课主要是通过一个学期的教学，使学生了解不同国别不同层次的汉语学习者具有不同的学习需求、学习动机、学习策略和观念等，使学生在以后的教学工作中能抓住重点，因人施教，并教会学生如何在此基础上针对不同国别、不同层次、不同背景的学生的汉语学习情况展开调查分析的方法，探索汉语作为第二语言学习者的一般规律，从而更好地促进教学与学习。</w:t>
      </w:r>
    </w:p>
    <w:p>
      <w:pPr>
        <w:pStyle w:val="65"/>
        <w:spacing w:line="360" w:lineRule="auto"/>
        <w:ind w:firstLine="420" w:firstLineChars="200"/>
        <w:rPr>
          <w:color w:val="000000" w:themeColor="text1"/>
          <w:szCs w:val="21"/>
        </w:rPr>
      </w:pPr>
      <w:r>
        <w:rPr>
          <w:rFonts w:hint="eastAsia"/>
          <w:color w:val="000000" w:themeColor="text1"/>
          <w:szCs w:val="21"/>
        </w:rPr>
        <w:t>本课程初期目标是使学生先了解自己国家民族的传统文化背景和学习汉语的人群，熟悉汉语和本国语言语语法知识，并在此基础上对本国不同学习者的学习情况进行调查分析，包括教材编写使用情况、学习者的层次背景以及学习偏误等方面。</w:t>
      </w:r>
    </w:p>
    <w:p>
      <w:pPr>
        <w:pStyle w:val="63"/>
        <w:spacing w:line="360" w:lineRule="auto"/>
        <w:outlineLvl w:val="0"/>
        <w:rPr>
          <w:color w:val="000000" w:themeColor="text1"/>
          <w:szCs w:val="24"/>
        </w:rPr>
      </w:pPr>
      <w:r>
        <w:rPr>
          <w:rFonts w:hint="eastAsia"/>
          <w:color w:val="000000" w:themeColor="text1"/>
          <w:szCs w:val="24"/>
        </w:rPr>
        <w:t xml:space="preserve"> 二、教学内容及教学基本要求</w:t>
      </w:r>
    </w:p>
    <w:p>
      <w:pPr>
        <w:pStyle w:val="65"/>
        <w:spacing w:line="360" w:lineRule="auto"/>
        <w:ind w:firstLine="420" w:firstLineChars="200"/>
        <w:rPr>
          <w:color w:val="000000" w:themeColor="text1"/>
          <w:szCs w:val="21"/>
        </w:rPr>
      </w:pPr>
      <w:r>
        <w:rPr>
          <w:rFonts w:hint="eastAsia"/>
          <w:color w:val="000000" w:themeColor="text1"/>
          <w:szCs w:val="21"/>
        </w:rPr>
        <w:t>1.使学生认识到不同国别不同层次的汉语学习者会在很多方面诸如学习汉语的难点、文化背景、学习需求、偏误、就业心理指向、汉语学习途径和条件、教材和工具书等呈现出差异性。充分认识并了解这些差异可以更好地促进教学科研。</w:t>
      </w:r>
    </w:p>
    <w:p>
      <w:pPr>
        <w:pStyle w:val="65"/>
        <w:spacing w:line="360" w:lineRule="auto"/>
        <w:ind w:firstLine="420" w:firstLineChars="200"/>
        <w:rPr>
          <w:color w:val="000000" w:themeColor="text1"/>
          <w:szCs w:val="21"/>
        </w:rPr>
      </w:pPr>
      <w:r>
        <w:rPr>
          <w:rFonts w:hint="eastAsia"/>
          <w:color w:val="000000" w:themeColor="text1"/>
          <w:szCs w:val="21"/>
        </w:rPr>
        <w:t>2.使学生掌握汉语教学问卷调查法，问卷调查目前广泛应用于外语教学各个领域，譬如学习策略研究、师生的教学和学习观念态度研究、学生和教师的知识和能力掌握情况调查、教学现状调查和教学评价、探讨教学以及学习效果的影响因素、进行教学或学习需求分析等。除此以外问卷调查还可以应用于学习动机以及翻译方面，对调查偏误也有重大帮助。通过本课程的学习，能使学生熟练应用问卷调查法，能设计出合理的问卷来做调查，解决自己在教学工作中遇到的各类问题。</w:t>
      </w:r>
    </w:p>
    <w:p>
      <w:pPr>
        <w:pStyle w:val="63"/>
        <w:spacing w:line="360" w:lineRule="auto"/>
        <w:outlineLvl w:val="0"/>
        <w:rPr>
          <w:color w:val="000000" w:themeColor="text1"/>
          <w:szCs w:val="24"/>
        </w:rPr>
      </w:pPr>
      <w:r>
        <w:rPr>
          <w:rFonts w:hint="eastAsia"/>
          <w:color w:val="000000" w:themeColor="text1"/>
          <w:szCs w:val="24"/>
        </w:rPr>
        <w:t>三、学时分配表</w:t>
      </w:r>
    </w:p>
    <w:tbl>
      <w:tblPr>
        <w:tblStyle w:val="30"/>
        <w:tblW w:w="766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18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序号</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课程内容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讲课学时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1</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宋体" w:cs="宋体"/>
                <w:color w:val="000000" w:themeColor="text1"/>
                <w:szCs w:val="21"/>
              </w:rPr>
            </w:pPr>
            <w:r>
              <w:rPr>
                <w:rFonts w:hint="eastAsia" w:cs="宋体"/>
                <w:color w:val="000000" w:themeColor="text1"/>
                <w:szCs w:val="21"/>
              </w:rPr>
              <w:t>绪论</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一</w:t>
            </w:r>
            <w:r>
              <w:rPr>
                <w:rFonts w:cs="宋体"/>
                <w:color w:val="000000" w:themeColor="text1"/>
                <w:szCs w:val="21"/>
              </w:rPr>
              <w:t>讲</w:t>
            </w:r>
            <w:r>
              <w:rPr>
                <w:rFonts w:hint="eastAsia" w:cs="宋体"/>
                <w:color w:val="000000" w:themeColor="text1"/>
                <w:szCs w:val="21"/>
              </w:rPr>
              <w:t xml:space="preserve"> </w:t>
            </w:r>
            <w:r>
              <w:rPr>
                <w:rFonts w:hint="eastAsia"/>
                <w:color w:val="000000" w:themeColor="text1"/>
                <w:szCs w:val="24"/>
              </w:rPr>
              <w:t>国别汉语教学在诸多方面存在差异性</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3</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二</w:t>
            </w:r>
            <w:r>
              <w:rPr>
                <w:rFonts w:cs="宋体"/>
                <w:color w:val="000000" w:themeColor="text1"/>
                <w:szCs w:val="21"/>
              </w:rPr>
              <w:t>讲</w:t>
            </w:r>
            <w:r>
              <w:rPr>
                <w:rFonts w:hint="eastAsia" w:cs="宋体"/>
                <w:color w:val="000000" w:themeColor="text1"/>
                <w:szCs w:val="21"/>
              </w:rPr>
              <w:t xml:space="preserve"> </w:t>
            </w:r>
            <w:r>
              <w:rPr>
                <w:rFonts w:hint="eastAsia"/>
                <w:color w:val="000000" w:themeColor="text1"/>
                <w:szCs w:val="24"/>
              </w:rPr>
              <w:t>国别汉语教学调查的途径</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4</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三</w:t>
            </w:r>
            <w:r>
              <w:rPr>
                <w:rFonts w:cs="宋体"/>
                <w:color w:val="000000" w:themeColor="text1"/>
                <w:szCs w:val="21"/>
              </w:rPr>
              <w:t>讲</w:t>
            </w:r>
            <w:r>
              <w:rPr>
                <w:rFonts w:hint="eastAsia" w:cs="宋体"/>
                <w:color w:val="000000" w:themeColor="text1"/>
                <w:szCs w:val="21"/>
              </w:rPr>
              <w:t xml:space="preserve"> </w:t>
            </w:r>
            <w:r>
              <w:rPr>
                <w:rFonts w:hint="eastAsia"/>
                <w:color w:val="000000" w:themeColor="text1"/>
                <w:szCs w:val="24"/>
              </w:rPr>
              <w:t>国别汉语教学问卷调查法及其特点</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5</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eastAsia="宋体" w:cs="宋体"/>
                <w:color w:val="000000" w:themeColor="text1"/>
                <w:szCs w:val="21"/>
              </w:rPr>
            </w:pPr>
            <w:r>
              <w:rPr>
                <w:rFonts w:cs="宋体"/>
                <w:color w:val="000000" w:themeColor="text1"/>
                <w:szCs w:val="21"/>
              </w:rPr>
              <w:t>第</w:t>
            </w:r>
            <w:r>
              <w:rPr>
                <w:rFonts w:hint="eastAsia" w:cs="宋体"/>
                <w:color w:val="000000" w:themeColor="text1"/>
                <w:szCs w:val="21"/>
              </w:rPr>
              <w:t>四</w:t>
            </w:r>
            <w:r>
              <w:rPr>
                <w:rFonts w:cs="宋体"/>
                <w:color w:val="000000" w:themeColor="text1"/>
                <w:szCs w:val="21"/>
              </w:rPr>
              <w:t>讲</w:t>
            </w:r>
            <w:r>
              <w:rPr>
                <w:rFonts w:hint="eastAsia" w:cs="宋体"/>
                <w:color w:val="000000" w:themeColor="text1"/>
                <w:szCs w:val="21"/>
              </w:rPr>
              <w:t xml:space="preserve"> </w:t>
            </w:r>
            <w:r>
              <w:rPr>
                <w:rFonts w:hint="eastAsia"/>
                <w:color w:val="000000" w:themeColor="text1"/>
                <w:szCs w:val="24"/>
              </w:rPr>
              <w:t>调查问卷的格式及设计步骤</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6</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五</w:t>
            </w:r>
            <w:r>
              <w:rPr>
                <w:rFonts w:cs="宋体"/>
                <w:color w:val="000000" w:themeColor="text1"/>
                <w:szCs w:val="21"/>
              </w:rPr>
              <w:t>讲</w:t>
            </w:r>
            <w:r>
              <w:rPr>
                <w:rFonts w:hint="eastAsia"/>
                <w:color w:val="000000" w:themeColor="text1"/>
              </w:rPr>
              <w:t xml:space="preserve"> </w:t>
            </w:r>
            <w:r>
              <w:rPr>
                <w:rFonts w:hint="eastAsia"/>
                <w:color w:val="000000" w:themeColor="text1"/>
                <w:szCs w:val="24"/>
              </w:rPr>
              <w:t>汉语教学调查问卷的项目设计</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7</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cs="宋体"/>
                <w:color w:val="000000" w:themeColor="text1"/>
                <w:szCs w:val="21"/>
              </w:rPr>
              <w:t>第</w:t>
            </w:r>
            <w:r>
              <w:rPr>
                <w:rFonts w:hint="eastAsia" w:cs="宋体"/>
                <w:color w:val="000000" w:themeColor="text1"/>
                <w:szCs w:val="21"/>
              </w:rPr>
              <w:t>六</w:t>
            </w:r>
            <w:r>
              <w:rPr>
                <w:rFonts w:cs="宋体"/>
                <w:color w:val="000000" w:themeColor="text1"/>
                <w:szCs w:val="21"/>
              </w:rPr>
              <w:t>讲</w:t>
            </w:r>
            <w:r>
              <w:rPr>
                <w:rFonts w:hint="eastAsia" w:cs="宋体"/>
                <w:color w:val="000000" w:themeColor="text1"/>
                <w:szCs w:val="21"/>
              </w:rPr>
              <w:t xml:space="preserve"> </w:t>
            </w:r>
            <w:r>
              <w:rPr>
                <w:rFonts w:hint="eastAsia"/>
                <w:color w:val="000000" w:themeColor="text1"/>
                <w:szCs w:val="24"/>
              </w:rPr>
              <w:t>调查问卷试测、实施及评价</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8</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cs="宋体"/>
                <w:color w:val="000000" w:themeColor="text1"/>
                <w:szCs w:val="21"/>
              </w:rPr>
            </w:pPr>
            <w:r>
              <w:rPr>
                <w:rFonts w:hint="eastAsia"/>
                <w:color w:val="000000" w:themeColor="text1"/>
                <w:szCs w:val="24"/>
              </w:rPr>
              <w:t>第七讲 各类型问卷的设计思路及题型</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68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r>
              <w:rPr>
                <w:rFonts w:hint="eastAsia" w:cs="宋体"/>
                <w:color w:val="000000" w:themeColor="text1"/>
                <w:szCs w:val="21"/>
              </w:rPr>
              <w:t>合计</w:t>
            </w:r>
          </w:p>
        </w:tc>
        <w:tc>
          <w:tcPr>
            <w:tcW w:w="518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color w:val="000000" w:themeColor="text1"/>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eastAsia="宋体" w:cs="宋体"/>
                <w:color w:val="000000" w:themeColor="text1"/>
                <w:szCs w:val="21"/>
              </w:rPr>
            </w:pPr>
            <w:r>
              <w:rPr>
                <w:rFonts w:hint="eastAsia" w:cs="宋体"/>
                <w:color w:val="000000" w:themeColor="text1"/>
                <w:szCs w:val="21"/>
              </w:rPr>
              <w:t>16</w:t>
            </w:r>
          </w:p>
        </w:tc>
      </w:tr>
    </w:tbl>
    <w:p>
      <w:pPr>
        <w:pStyle w:val="63"/>
        <w:spacing w:line="360" w:lineRule="auto"/>
        <w:outlineLvl w:val="0"/>
        <w:rPr>
          <w:color w:val="000000" w:themeColor="text1"/>
          <w:szCs w:val="24"/>
        </w:rPr>
      </w:pPr>
      <w:r>
        <w:rPr>
          <w:rFonts w:hint="eastAsia"/>
          <w:color w:val="000000" w:themeColor="text1"/>
          <w:szCs w:val="24"/>
        </w:rPr>
        <w:t>四、课程考核方法及要求</w:t>
      </w:r>
    </w:p>
    <w:p>
      <w:pPr>
        <w:pStyle w:val="64"/>
        <w:spacing w:line="360" w:lineRule="auto"/>
        <w:rPr>
          <w:color w:val="000000" w:themeColor="text1"/>
        </w:rPr>
      </w:pPr>
      <w:r>
        <w:rPr>
          <w:color w:val="000000" w:themeColor="text1"/>
        </w:rPr>
        <w:t>1</w:t>
      </w:r>
      <w:r>
        <w:rPr>
          <w:rFonts w:hint="eastAsia"/>
          <w:color w:val="000000" w:themeColor="text1"/>
        </w:rPr>
        <w:t>．考核方式：考试（ ）；考查（√）</w:t>
      </w:r>
    </w:p>
    <w:p>
      <w:pPr>
        <w:pStyle w:val="64"/>
        <w:spacing w:line="360" w:lineRule="auto"/>
        <w:rPr>
          <w:color w:val="000000" w:themeColor="text1"/>
        </w:rPr>
      </w:pPr>
      <w:r>
        <w:rPr>
          <w:color w:val="000000" w:themeColor="text1"/>
        </w:rPr>
        <w:t>2</w:t>
      </w:r>
      <w:r>
        <w:rPr>
          <w:rFonts w:hint="eastAsia"/>
          <w:color w:val="000000" w:themeColor="text1"/>
        </w:rPr>
        <w:t>．成绩评定：</w:t>
      </w:r>
    </w:p>
    <w:p>
      <w:pPr>
        <w:pStyle w:val="65"/>
        <w:spacing w:line="360" w:lineRule="auto"/>
        <w:rPr>
          <w:color w:val="000000" w:themeColor="text1"/>
        </w:rPr>
      </w:pPr>
      <w:r>
        <w:rPr>
          <w:rFonts w:hint="eastAsia"/>
          <w:color w:val="000000" w:themeColor="text1"/>
        </w:rPr>
        <w:t>计分制：百分制（√）；五级分制（）；两级分制（）</w:t>
      </w:r>
    </w:p>
    <w:p>
      <w:pPr>
        <w:pStyle w:val="65"/>
        <w:spacing w:line="360" w:lineRule="auto"/>
        <w:rPr>
          <w:color w:val="000000" w:themeColor="text1"/>
        </w:rPr>
      </w:pPr>
      <w:r>
        <w:rPr>
          <w:rFonts w:hint="eastAsia"/>
          <w:color w:val="000000" w:themeColor="text1"/>
        </w:rPr>
        <w:t>总评成绩构成：平时考核（4</w:t>
      </w:r>
      <w:r>
        <w:rPr>
          <w:color w:val="000000" w:themeColor="text1"/>
        </w:rPr>
        <w:t>0</w:t>
      </w:r>
      <w:r>
        <w:rPr>
          <w:rFonts w:hint="eastAsia"/>
          <w:color w:val="000000" w:themeColor="text1"/>
        </w:rPr>
        <w:t>）％；期末考核（6</w:t>
      </w:r>
      <w:r>
        <w:rPr>
          <w:color w:val="000000" w:themeColor="text1"/>
        </w:rPr>
        <w:t>0</w:t>
      </w:r>
      <w:r>
        <w:rPr>
          <w:rFonts w:hint="eastAsia"/>
          <w:color w:val="000000" w:themeColor="text1"/>
        </w:rPr>
        <w:t>）％</w:t>
      </w:r>
    </w:p>
    <w:p>
      <w:pPr>
        <w:pStyle w:val="65"/>
        <w:spacing w:line="360" w:lineRule="auto"/>
        <w:rPr>
          <w:color w:val="000000" w:themeColor="text1"/>
        </w:rPr>
      </w:pPr>
      <w:r>
        <w:rPr>
          <w:rFonts w:hint="eastAsia"/>
          <w:color w:val="000000" w:themeColor="text1"/>
        </w:rPr>
        <w:t>平时成绩构成：作业（</w:t>
      </w:r>
      <w:r>
        <w:rPr>
          <w:color w:val="000000" w:themeColor="text1"/>
        </w:rPr>
        <w:t>10</w:t>
      </w:r>
      <w:r>
        <w:rPr>
          <w:rFonts w:hint="eastAsia"/>
          <w:color w:val="000000" w:themeColor="text1"/>
        </w:rPr>
        <w:t>）％</w:t>
      </w:r>
    </w:p>
    <w:p>
      <w:pPr>
        <w:pStyle w:val="63"/>
        <w:spacing w:line="360" w:lineRule="auto"/>
        <w:outlineLvl w:val="0"/>
        <w:rPr>
          <w:color w:val="000000" w:themeColor="text1"/>
          <w:szCs w:val="24"/>
        </w:rPr>
      </w:pPr>
      <w:r>
        <w:rPr>
          <w:rFonts w:hint="eastAsia"/>
          <w:color w:val="000000" w:themeColor="text1"/>
          <w:szCs w:val="24"/>
        </w:rPr>
        <w:t>五、建议教材及参考资料</w:t>
      </w:r>
    </w:p>
    <w:p>
      <w:pPr>
        <w:pStyle w:val="63"/>
        <w:spacing w:line="360" w:lineRule="auto"/>
        <w:outlineLvl w:val="0"/>
        <w:rPr>
          <w:rFonts w:eastAsia="宋体"/>
          <w:color w:val="000000" w:themeColor="text1"/>
          <w:szCs w:val="24"/>
        </w:rPr>
      </w:pPr>
      <w:r>
        <w:rPr>
          <w:rFonts w:hint="eastAsia"/>
          <w:color w:val="000000" w:themeColor="text1"/>
          <w:szCs w:val="24"/>
        </w:rPr>
        <w:t>建议教材：无</w:t>
      </w:r>
    </w:p>
    <w:p>
      <w:pPr>
        <w:pStyle w:val="66"/>
        <w:spacing w:line="360" w:lineRule="auto"/>
        <w:rPr>
          <w:color w:val="000000" w:themeColor="text1"/>
        </w:rPr>
      </w:pPr>
      <w:r>
        <w:rPr>
          <w:rFonts w:hint="eastAsia"/>
          <w:color w:val="000000" w:themeColor="text1"/>
        </w:rPr>
        <w:t>参考资料：</w:t>
      </w:r>
    </w:p>
    <w:p>
      <w:pPr>
        <w:pStyle w:val="64"/>
        <w:numPr>
          <w:ilvl w:val="0"/>
          <w:numId w:val="12"/>
        </w:numPr>
        <w:spacing w:line="360" w:lineRule="auto"/>
        <w:rPr>
          <w:rFonts w:asciiTheme="minorEastAsia" w:hAnsiTheme="minorEastAsia" w:cstheme="minorEastAsia"/>
          <w:color w:val="000000" w:themeColor="text1"/>
        </w:rPr>
      </w:pPr>
      <w:r>
        <w:rPr>
          <w:rFonts w:hint="eastAsia" w:asciiTheme="minorEastAsia" w:hAnsiTheme="minorEastAsia" w:cstheme="minorEastAsia"/>
          <w:color w:val="000000" w:themeColor="text1"/>
        </w:rPr>
        <w:t>王巍等，</w:t>
      </w:r>
      <w:r>
        <w:rPr>
          <w:rFonts w:asciiTheme="minorEastAsia" w:hAnsiTheme="minorEastAsia" w:cstheme="minorEastAsia"/>
          <w:color w:val="000000" w:themeColor="text1"/>
        </w:rPr>
        <w:t>国别化汉语教学案例实录</w:t>
      </w:r>
      <w:r>
        <w:rPr>
          <w:rFonts w:hint="eastAsia" w:asciiTheme="minorEastAsia" w:hAnsiTheme="minorEastAsia" w:cstheme="minorEastAsia"/>
          <w:color w:val="000000" w:themeColor="text1"/>
        </w:rPr>
        <w:t>，中国文联出版社，2013年；</w:t>
      </w:r>
    </w:p>
    <w:p>
      <w:pPr>
        <w:pStyle w:val="64"/>
        <w:numPr>
          <w:ilvl w:val="0"/>
          <w:numId w:val="12"/>
        </w:numPr>
        <w:spacing w:line="360" w:lineRule="auto"/>
        <w:rPr>
          <w:rFonts w:asciiTheme="minorEastAsia" w:hAnsiTheme="minorEastAsia" w:cstheme="minorEastAsia"/>
          <w:color w:val="000000" w:themeColor="text1"/>
        </w:rPr>
      </w:pPr>
      <w:bookmarkStart w:id="74" w:name="itemlist-author"/>
      <w:bookmarkStart w:id="75" w:name="itemlist-title"/>
      <w:r>
        <w:rPr>
          <w:rFonts w:hint="eastAsia" w:asciiTheme="minorEastAsia" w:hAnsiTheme="minorEastAsia" w:cstheme="minorEastAsia"/>
          <w:color w:val="000000" w:themeColor="text1"/>
        </w:rPr>
        <w:fldChar w:fldCharType="begin"/>
      </w:r>
      <w:r>
        <w:rPr>
          <w:rFonts w:asciiTheme="minorEastAsia" w:hAnsiTheme="minorEastAsia" w:cstheme="minorEastAsia"/>
          <w:color w:val="000000" w:themeColor="text1"/>
        </w:rPr>
        <w:instrText xml:space="preserve"> HYPERLINK "http://search.dangdang.com/?key2=%D5%D4%B3%C9%C6%BD&amp;medium=22&amp;category_path=98.00.00.00.00.00" \o "赵成平" </w:instrText>
      </w:r>
      <w:r>
        <w:rPr>
          <w:rFonts w:hint="eastAsia" w:asciiTheme="minorEastAsia" w:hAnsiTheme="minorEastAsia" w:cstheme="minorEastAsia"/>
          <w:color w:val="000000" w:themeColor="text1"/>
        </w:rPr>
        <w:fldChar w:fldCharType="separate"/>
      </w:r>
      <w:r>
        <w:rPr>
          <w:rFonts w:hint="eastAsia" w:asciiTheme="minorEastAsia" w:hAnsiTheme="minorEastAsia" w:cstheme="minorEastAsia"/>
          <w:color w:val="000000" w:themeColor="text1"/>
        </w:rPr>
        <w:t>赵成平</w:t>
      </w:r>
      <w:bookmarkEnd w:id="74"/>
      <w:r>
        <w:rPr>
          <w:rFonts w:hint="eastAsia" w:asciiTheme="minorEastAsia" w:hAnsiTheme="minorEastAsia" w:cstheme="minorEastAsia"/>
          <w:color w:val="000000" w:themeColor="text1"/>
        </w:rPr>
        <w:fldChar w:fldCharType="end"/>
      </w:r>
      <w:r>
        <w:rPr>
          <w:rFonts w:hint="eastAsia" w:asciiTheme="minorEastAsia" w:hAnsiTheme="minorEastAsia" w:cstheme="minorEastAsia"/>
          <w:color w:val="000000" w:themeColor="text1"/>
        </w:rPr>
        <w:t>，</w:t>
      </w:r>
      <w:r>
        <w:fldChar w:fldCharType="begin"/>
      </w:r>
      <w:r>
        <w:instrText xml:space="preserve"> HYPERLINK "http://product.dangdang.com/9243838.html" \t "http://search.dangdang.com/_blank" \o " " </w:instrText>
      </w:r>
      <w:r>
        <w:fldChar w:fldCharType="separate"/>
      </w:r>
      <w:r>
        <w:rPr>
          <w:rFonts w:hint="eastAsia" w:asciiTheme="minorEastAsia" w:hAnsiTheme="minorEastAsia" w:cstheme="minorEastAsia"/>
          <w:color w:val="000000" w:themeColor="text1"/>
        </w:rPr>
        <w:t>“国别化”对外汉语教学用词表制定的研究</w:t>
      </w:r>
      <w:bookmarkEnd w:id="75"/>
      <w:r>
        <w:rPr>
          <w:rFonts w:hint="eastAsia" w:asciiTheme="minorEastAsia" w:hAnsiTheme="minorEastAsia" w:cstheme="minorEastAsia"/>
          <w:color w:val="000000" w:themeColor="text1"/>
        </w:rPr>
        <w:fldChar w:fldCharType="end"/>
      </w:r>
      <w:bookmarkStart w:id="76" w:name="P_cbs"/>
      <w:r>
        <w:rPr>
          <w:rFonts w:hint="eastAsia" w:asciiTheme="minorEastAsia" w:hAnsiTheme="minorEastAsia" w:cstheme="minorEastAsia"/>
          <w:color w:val="000000" w:themeColor="text1"/>
        </w:rPr>
        <w:t>，</w:t>
      </w:r>
      <w:r>
        <w:fldChar w:fldCharType="begin"/>
      </w:r>
      <w:r>
        <w:instrText xml:space="preserve"> HYPERLINK "http://search.dangdang.com/?key=&amp;key3=%D6%D8%C7%EC%B4%F3%D1%A7%B3%F6%B0%E6%C9%E7&amp;medium=01&amp;category_path=01.00.00.00.00.00" \o "重庆大学出版社" </w:instrText>
      </w:r>
      <w:r>
        <w:fldChar w:fldCharType="separate"/>
      </w:r>
      <w:r>
        <w:rPr>
          <w:rFonts w:hint="eastAsia" w:asciiTheme="minorEastAsia" w:hAnsiTheme="minorEastAsia" w:cstheme="minorEastAsia"/>
          <w:color w:val="000000" w:themeColor="text1"/>
        </w:rPr>
        <w:t>重庆大学出版社</w:t>
      </w:r>
      <w:bookmarkEnd w:id="76"/>
      <w:r>
        <w:rPr>
          <w:rFonts w:hint="eastAsia" w:asciiTheme="minorEastAsia" w:hAnsiTheme="minorEastAsia" w:cstheme="minorEastAsia"/>
          <w:color w:val="000000" w:themeColor="text1"/>
        </w:rPr>
        <w:fldChar w:fldCharType="end"/>
      </w:r>
      <w:r>
        <w:rPr>
          <w:rFonts w:asciiTheme="minorEastAsia" w:hAnsiTheme="minorEastAsia" w:cstheme="minorEastAsia"/>
          <w:color w:val="000000" w:themeColor="text1"/>
        </w:rPr>
        <w:t>2015</w:t>
      </w:r>
      <w:r>
        <w:rPr>
          <w:rFonts w:hint="eastAsia" w:asciiTheme="minorEastAsia" w:hAnsiTheme="minorEastAsia" w:cstheme="minorEastAsia"/>
          <w:color w:val="000000" w:themeColor="text1"/>
        </w:rPr>
        <w:t>年</w:t>
      </w:r>
    </w:p>
    <w:p>
      <w:pPr>
        <w:pStyle w:val="64"/>
        <w:numPr>
          <w:ilvl w:val="0"/>
          <w:numId w:val="12"/>
        </w:numPr>
        <w:spacing w:line="360" w:lineRule="auto"/>
        <w:rPr>
          <w:rFonts w:asciiTheme="minorEastAsia" w:hAnsiTheme="minorEastAsia" w:cstheme="minorEastAsia"/>
          <w:color w:val="000000" w:themeColor="text1"/>
        </w:rPr>
      </w:pPr>
      <w:r>
        <w:rPr>
          <w:rFonts w:hint="eastAsia" w:asciiTheme="minorEastAsia" w:hAnsiTheme="minorEastAsia" w:cstheme="minorEastAsia"/>
          <w:color w:val="000000" w:themeColor="text1"/>
        </w:rPr>
        <w:t>袁方,社会研究方法教程，北京大学出版社，2011年</w:t>
      </w:r>
    </w:p>
    <w:p>
      <w:pPr>
        <w:pStyle w:val="64"/>
        <w:spacing w:line="360" w:lineRule="auto"/>
        <w:rPr>
          <w:rFonts w:asciiTheme="minorEastAsia" w:hAnsiTheme="minorEastAsia" w:cstheme="minorEastAsia"/>
          <w:color w:val="000000" w:themeColor="text1"/>
        </w:rPr>
      </w:pPr>
      <w:r>
        <w:rPr>
          <w:rFonts w:hint="eastAsia" w:asciiTheme="minorEastAsia" w:hAnsiTheme="minorEastAsia" w:cstheme="minorEastAsia"/>
          <w:color w:val="000000" w:themeColor="text1"/>
        </w:rPr>
        <w:t>4.丁安琪,汉语作为第二语言学习者实证研究，世界图书出版公司,2011年</w:t>
      </w:r>
    </w:p>
    <w:p>
      <w:pPr>
        <w:pStyle w:val="64"/>
        <w:spacing w:line="360" w:lineRule="auto"/>
        <w:rPr>
          <w:rFonts w:asciiTheme="minorEastAsia" w:hAnsiTheme="minorEastAsia" w:cstheme="minorEastAsia"/>
          <w:color w:val="000000" w:themeColor="text1"/>
        </w:rPr>
      </w:pPr>
      <w:r>
        <w:rPr>
          <w:rFonts w:hint="eastAsia" w:asciiTheme="minorEastAsia" w:hAnsiTheme="minorEastAsia" w:cstheme="minorEastAsia"/>
          <w:color w:val="000000" w:themeColor="text1"/>
        </w:rPr>
        <w:t xml:space="preserve">5. </w:t>
      </w:r>
      <w:r>
        <w:fldChar w:fldCharType="begin"/>
      </w:r>
      <w:r>
        <w:instrText xml:space="preserve"> HYPERLINK "http://search.dangdang.com/?key2=%B8%CA%C8%F0%E8%A5&amp;medium=01&amp;category_path=01.00.00.00.00.00" \o "甘瑞瑗" </w:instrText>
      </w:r>
      <w:r>
        <w:fldChar w:fldCharType="separate"/>
      </w:r>
      <w:r>
        <w:rPr>
          <w:rFonts w:hint="eastAsia" w:asciiTheme="minorEastAsia" w:hAnsiTheme="minorEastAsia" w:cstheme="minorEastAsia"/>
          <w:color w:val="000000" w:themeColor="text1"/>
        </w:rPr>
        <w:t>甘瑞瑗</w:t>
      </w:r>
      <w:r>
        <w:rPr>
          <w:rFonts w:hint="eastAsia" w:asciiTheme="minorEastAsia" w:hAnsiTheme="minorEastAsia" w:cstheme="minorEastAsia"/>
          <w:color w:val="000000" w:themeColor="text1"/>
        </w:rPr>
        <w:fldChar w:fldCharType="end"/>
      </w:r>
      <w:r>
        <w:rPr>
          <w:rFonts w:hint="eastAsia" w:asciiTheme="minorEastAsia" w:hAnsiTheme="minorEastAsia" w:cstheme="minorEastAsia"/>
          <w:color w:val="000000" w:themeColor="text1"/>
        </w:rPr>
        <w:t>，</w:t>
      </w:r>
      <w:r>
        <w:fldChar w:fldCharType="begin"/>
      </w:r>
      <w:r>
        <w:instrText xml:space="preserve"> HYPERLINK "http://product.dangdang.com/9243838.html" \t "http://search.dangdang.com/_blank" \o " " </w:instrText>
      </w:r>
      <w:r>
        <w:fldChar w:fldCharType="separate"/>
      </w:r>
      <w:r>
        <w:rPr>
          <w:rFonts w:hint="eastAsia" w:asciiTheme="minorEastAsia" w:hAnsiTheme="minorEastAsia" w:cstheme="minorEastAsia"/>
          <w:color w:val="000000" w:themeColor="text1"/>
        </w:rPr>
        <w:t>“国别化”对外汉语教学用词表制定的研究</w:t>
      </w:r>
      <w:r>
        <w:rPr>
          <w:rFonts w:hint="eastAsia" w:asciiTheme="minorEastAsia" w:hAnsiTheme="minorEastAsia" w:cstheme="minorEastAsia"/>
          <w:color w:val="000000" w:themeColor="text1"/>
        </w:rPr>
        <w:fldChar w:fldCharType="end"/>
      </w:r>
      <w:r>
        <w:rPr>
          <w:rFonts w:hint="eastAsia" w:asciiTheme="minorEastAsia" w:hAnsiTheme="minorEastAsia" w:cstheme="minorEastAsia"/>
          <w:color w:val="000000" w:themeColor="text1"/>
        </w:rPr>
        <w:t>，</w:t>
      </w:r>
      <w:r>
        <w:fldChar w:fldCharType="begin"/>
      </w:r>
      <w:r>
        <w:instrText xml:space="preserve"> HYPERLINK "http://search.dangdang.com/?key=&amp;key3=%B1%B1%BE%A9%B4%F3%D1%A7%B3%F6%B0%E6%C9%E7&amp;medium=01&amp;category_path=01.00.00.00.00.00" \o "北京大学出版社" </w:instrText>
      </w:r>
      <w:r>
        <w:fldChar w:fldCharType="separate"/>
      </w:r>
      <w:r>
        <w:rPr>
          <w:rFonts w:hint="eastAsia" w:asciiTheme="minorEastAsia" w:hAnsiTheme="minorEastAsia" w:cstheme="minorEastAsia"/>
          <w:color w:val="000000" w:themeColor="text1"/>
        </w:rPr>
        <w:t>北京大学出版社</w:t>
      </w:r>
      <w:r>
        <w:rPr>
          <w:rFonts w:hint="eastAsia" w:asciiTheme="minorEastAsia" w:hAnsiTheme="minorEastAsia" w:cstheme="minorEastAsia"/>
          <w:color w:val="000000" w:themeColor="text1"/>
        </w:rPr>
        <w:fldChar w:fldCharType="end"/>
      </w:r>
      <w:r>
        <w:rPr>
          <w:rFonts w:asciiTheme="minorEastAsia" w:hAnsiTheme="minorEastAsia" w:cstheme="minorEastAsia"/>
          <w:color w:val="000000" w:themeColor="text1"/>
        </w:rPr>
        <w:t>2007</w:t>
      </w:r>
      <w:r>
        <w:rPr>
          <w:rFonts w:hint="eastAsia" w:asciiTheme="minorEastAsia" w:hAnsiTheme="minorEastAsia" w:cstheme="minorEastAsia"/>
          <w:color w:val="000000" w:themeColor="text1"/>
        </w:rPr>
        <w:t>年</w:t>
      </w:r>
    </w:p>
    <w:p>
      <w:pPr>
        <w:adjustRightInd w:val="0"/>
        <w:snapToGrid w:val="0"/>
        <w:spacing w:line="300" w:lineRule="auto"/>
        <w:ind w:firstLine="1280" w:firstLineChars="4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br w:type="page"/>
      </w:r>
    </w:p>
    <w:p>
      <w:pPr>
        <w:adjustRightInd w:val="0"/>
        <w:snapToGrid w:val="0"/>
        <w:spacing w:line="300" w:lineRule="auto"/>
        <w:ind w:firstLine="1280" w:firstLineChars="4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附录3.</w:t>
      </w:r>
      <w:r>
        <w:rPr>
          <w:rFonts w:ascii="仿宋" w:hAnsi="仿宋" w:eastAsia="仿宋"/>
          <w:b/>
          <w:bCs/>
          <w:color w:val="000000" w:themeColor="text1"/>
          <w:sz w:val="32"/>
          <w:szCs w:val="32"/>
        </w:rPr>
        <w:t>授课课程表</w:t>
      </w:r>
    </w:p>
    <w:tbl>
      <w:tblPr>
        <w:tblStyle w:val="31"/>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2835"/>
        <w:gridCol w:w="1905"/>
        <w:gridCol w:w="1020"/>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trPr>
        <w:tc>
          <w:tcPr>
            <w:tcW w:w="149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年度</w:t>
            </w:r>
          </w:p>
        </w:tc>
        <w:tc>
          <w:tcPr>
            <w:tcW w:w="283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课程名称</w:t>
            </w:r>
          </w:p>
        </w:tc>
        <w:tc>
          <w:tcPr>
            <w:tcW w:w="190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课程类别</w:t>
            </w:r>
          </w:p>
          <w:p>
            <w:pPr>
              <w:adjustRightInd w:val="0"/>
              <w:snapToGrid w:val="0"/>
              <w:spacing w:line="300" w:lineRule="auto"/>
              <w:jc w:val="center"/>
              <w:rPr>
                <w:rFonts w:ascii="Calibri" w:hAnsi="Calibri" w:eastAsia="宋体" w:cs="Calibri"/>
                <w:color w:val="000000" w:themeColor="text1"/>
                <w:sz w:val="18"/>
                <w:szCs w:val="18"/>
              </w:rPr>
            </w:pPr>
            <w:r>
              <w:rPr>
                <w:rFonts w:hint="eastAsia" w:ascii="Calibri" w:hAnsi="Calibri" w:eastAsia="宋体" w:cs="Calibri"/>
                <w:color w:val="000000" w:themeColor="text1"/>
                <w:sz w:val="18"/>
                <w:szCs w:val="18"/>
              </w:rPr>
              <w:t>A公共 B 核心</w:t>
            </w:r>
          </w:p>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18"/>
                <w:szCs w:val="18"/>
              </w:rPr>
              <w:t>C 选修D创新</w:t>
            </w:r>
          </w:p>
        </w:tc>
        <w:tc>
          <w:tcPr>
            <w:tcW w:w="1020"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学分</w:t>
            </w:r>
          </w:p>
        </w:tc>
        <w:tc>
          <w:tcPr>
            <w:tcW w:w="248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授课时间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restart"/>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 w:val="32"/>
                <w:szCs w:val="32"/>
              </w:rPr>
              <w:t>2015</w:t>
            </w: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汉语作为第二语言教学</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4</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周二6、7节；周三1、2节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跨文化交际</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周一1、2节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汉外语言对比与偏误分析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汉语语言学导论</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中国思想文化</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周一6、7节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中国传统文化评析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周四10、11节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中华文化与传播</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第二语言习得</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国外汉语课堂教学案例</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外语教育心理学</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汉语教材与教学资源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国外中小学教育</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汉语国际教育推广专题</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课程设计与实践</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3</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中华文化才艺与展示</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restart"/>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 w:val="32"/>
                <w:szCs w:val="32"/>
              </w:rPr>
              <w:t>2016</w:t>
            </w: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汉语作为第二语言教学</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4</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周二6、7节；周三1、2节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跨文化交际</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汉外语言对比与偏误分析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汉语语言学导论</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周一3、4节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中国思想文化</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周五1、2节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中国传统文化评析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周三10、11节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欧美语言文化研究</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周三8、9节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中华文化与传播</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第二语言习得</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国外汉语课堂教学案例</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外语教育心理学</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汉语教材与教学资源</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国外中小学教育</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汉语国际教育推广专题</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课程设计与实践</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3</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中华文化才艺与展示</w:t>
            </w:r>
          </w:p>
        </w:tc>
        <w:tc>
          <w:tcPr>
            <w:tcW w:w="190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02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周四6、7节</w:t>
            </w:r>
          </w:p>
        </w:tc>
      </w:tr>
    </w:tbl>
    <w:p>
      <w:pPr>
        <w:adjustRightInd w:val="0"/>
        <w:snapToGrid w:val="0"/>
        <w:spacing w:line="300" w:lineRule="auto"/>
        <w:ind w:firstLine="1280" w:firstLineChars="400"/>
        <w:rPr>
          <w:rFonts w:ascii="仿宋" w:hAnsi="仿宋" w:eastAsia="仿宋"/>
          <w:bCs/>
          <w:color w:val="000000" w:themeColor="text1"/>
          <w:sz w:val="32"/>
          <w:szCs w:val="32"/>
        </w:rPr>
      </w:pPr>
      <w:r>
        <w:rPr>
          <w:rFonts w:hint="eastAsia" w:ascii="仿宋" w:hAnsi="仿宋" w:eastAsia="仿宋"/>
          <w:bCs/>
          <w:color w:val="000000" w:themeColor="text1"/>
          <w:sz w:val="32"/>
          <w:szCs w:val="32"/>
        </w:rPr>
        <w:t>（以上为中国学生课程）</w:t>
      </w:r>
    </w:p>
    <w:p>
      <w:pPr>
        <w:adjustRightInd w:val="0"/>
        <w:snapToGrid w:val="0"/>
        <w:spacing w:line="300" w:lineRule="auto"/>
        <w:ind w:firstLine="1280" w:firstLineChars="400"/>
        <w:rPr>
          <w:rFonts w:ascii="仿宋" w:hAnsi="仿宋" w:eastAsia="仿宋"/>
          <w:bCs/>
          <w:color w:val="000000" w:themeColor="text1"/>
          <w:sz w:val="32"/>
          <w:szCs w:val="32"/>
        </w:rPr>
      </w:pPr>
      <w:r>
        <w:rPr>
          <w:rFonts w:ascii="仿宋" w:hAnsi="仿宋" w:eastAsia="仿宋"/>
          <w:bCs/>
          <w:color w:val="000000" w:themeColor="text1"/>
          <w:sz w:val="32"/>
          <w:szCs w:val="32"/>
        </w:rPr>
        <w:br w:type="page"/>
      </w:r>
    </w:p>
    <w:tbl>
      <w:tblPr>
        <w:tblStyle w:val="31"/>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2835"/>
        <w:gridCol w:w="1755"/>
        <w:gridCol w:w="1170"/>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trPr>
        <w:tc>
          <w:tcPr>
            <w:tcW w:w="149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年度</w:t>
            </w:r>
          </w:p>
        </w:tc>
        <w:tc>
          <w:tcPr>
            <w:tcW w:w="283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课程名称</w:t>
            </w:r>
          </w:p>
        </w:tc>
        <w:tc>
          <w:tcPr>
            <w:tcW w:w="175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课程类别</w:t>
            </w:r>
          </w:p>
          <w:p>
            <w:pPr>
              <w:adjustRightInd w:val="0"/>
              <w:snapToGrid w:val="0"/>
              <w:spacing w:line="300" w:lineRule="auto"/>
              <w:jc w:val="center"/>
              <w:rPr>
                <w:rFonts w:ascii="Calibri" w:hAnsi="Calibri" w:eastAsia="宋体" w:cs="Calibri"/>
                <w:color w:val="000000" w:themeColor="text1"/>
                <w:sz w:val="18"/>
                <w:szCs w:val="18"/>
              </w:rPr>
            </w:pPr>
            <w:r>
              <w:rPr>
                <w:rFonts w:hint="eastAsia" w:ascii="Calibri" w:hAnsi="Calibri" w:eastAsia="宋体" w:cs="Calibri"/>
                <w:color w:val="000000" w:themeColor="text1"/>
                <w:sz w:val="18"/>
                <w:szCs w:val="18"/>
              </w:rPr>
              <w:t>A公共 B 核心</w:t>
            </w:r>
          </w:p>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18"/>
                <w:szCs w:val="18"/>
              </w:rPr>
              <w:t>C 选修D创新</w:t>
            </w:r>
          </w:p>
        </w:tc>
        <w:tc>
          <w:tcPr>
            <w:tcW w:w="1170"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学分</w:t>
            </w:r>
          </w:p>
        </w:tc>
        <w:tc>
          <w:tcPr>
            <w:tcW w:w="2485" w:type="dxa"/>
            <w:vAlign w:val="center"/>
          </w:tcPr>
          <w:p>
            <w:pPr>
              <w:adjustRightInd w:val="0"/>
              <w:snapToGrid w:val="0"/>
              <w:spacing w:line="300" w:lineRule="auto"/>
              <w:jc w:val="center"/>
              <w:rPr>
                <w:rFonts w:ascii="Calibri" w:hAnsi="Calibri" w:eastAsia="宋体" w:cs="Calibri"/>
                <w:color w:val="000000" w:themeColor="text1"/>
                <w:sz w:val="24"/>
              </w:rPr>
            </w:pPr>
            <w:r>
              <w:rPr>
                <w:rFonts w:hint="eastAsia" w:ascii="Calibri" w:hAnsi="Calibri" w:eastAsia="宋体" w:cs="Calibri"/>
                <w:color w:val="000000" w:themeColor="text1"/>
                <w:sz w:val="24"/>
              </w:rPr>
              <w:t>授课时间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restart"/>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 w:val="32"/>
                <w:szCs w:val="32"/>
              </w:rPr>
              <w:t>2015</w:t>
            </w: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汉语作为第二语言教学</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4</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周二6、7节；周三1、2节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跨文化交际</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周一1、2节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汉外语言对比与偏误分析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汉语语言学导论</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高级汉语</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A</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当代中国专题</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A</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周四3、4节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中华文化经典</w:t>
            </w:r>
          </w:p>
        </w:tc>
        <w:tc>
          <w:tcPr>
            <w:tcW w:w="1755" w:type="dxa"/>
            <w:vAlign w:val="center"/>
          </w:tcPr>
          <w:p>
            <w:pPr>
              <w:adjustRightInd w:val="0"/>
              <w:snapToGrid w:val="0"/>
              <w:spacing w:line="300" w:lineRule="auto"/>
              <w:jc w:val="center"/>
              <w:rPr>
                <w:rFonts w:ascii="Calibri" w:hAnsi="Calibri" w:eastAsia="宋体" w:cs="Calibri"/>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中外文化比较</w:t>
            </w:r>
          </w:p>
        </w:tc>
        <w:tc>
          <w:tcPr>
            <w:tcW w:w="1755" w:type="dxa"/>
            <w:vAlign w:val="center"/>
          </w:tcPr>
          <w:p>
            <w:pPr>
              <w:adjustRightInd w:val="0"/>
              <w:snapToGrid w:val="0"/>
              <w:spacing w:line="300" w:lineRule="auto"/>
              <w:jc w:val="center"/>
              <w:rPr>
                <w:rFonts w:ascii="Calibri" w:hAnsi="Calibri" w:eastAsia="宋体" w:cs="Calibri"/>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中华文化与传播</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第二语言习得</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国外汉语课堂教学案例</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外语教育心理学</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汉语教材与教学资源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国别汉语教学调查分析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汉语国际教育推广专题</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课程设计与实践</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3</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中华文化才艺与展示</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restart"/>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 w:val="32"/>
                <w:szCs w:val="32"/>
              </w:rPr>
              <w:t>2016</w:t>
            </w: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汉语作为第二语言教学</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4</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周二6、7节；周三1、2节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跨文化交际</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汉外语言对比与偏误分析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汉语语言学导论</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周一3、4节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当代中国专题</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A</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周四3、4节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中外文化经典</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中华文化经典</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第一学期 周二8、9节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中华文化与传播</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第二语言习得</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国外汉语课堂教学案例</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B</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周二3、4节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外语教育心理学</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周一6、7节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汉语教材与教学资源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2</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周三1、2节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国别汉语教学调查分析</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周一10、11节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汉语国际教育推广专题</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周二10、11节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课程设计与实践</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3</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周三10、11节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5" w:type="dxa"/>
            <w:vMerge w:val="continue"/>
            <w:vAlign w:val="center"/>
          </w:tcPr>
          <w:p>
            <w:pPr>
              <w:adjustRightInd w:val="0"/>
              <w:snapToGrid w:val="0"/>
              <w:spacing w:line="300" w:lineRule="auto"/>
              <w:jc w:val="center"/>
              <w:rPr>
                <w:rFonts w:ascii="仿宋" w:hAnsi="仿宋" w:eastAsia="仿宋" w:cs="Times New Roman"/>
                <w:bCs/>
                <w:color w:val="000000" w:themeColor="text1"/>
                <w:sz w:val="32"/>
                <w:szCs w:val="32"/>
              </w:rPr>
            </w:pPr>
          </w:p>
        </w:tc>
        <w:tc>
          <w:tcPr>
            <w:tcW w:w="2835" w:type="dxa"/>
            <w:vAlign w:val="center"/>
          </w:tcPr>
          <w:p>
            <w:pPr>
              <w:adjustRightInd w:val="0"/>
              <w:snapToGrid w:val="0"/>
              <w:spacing w:line="300" w:lineRule="auto"/>
              <w:jc w:val="center"/>
              <w:rPr>
                <w:rFonts w:ascii="仿宋" w:hAnsi="仿宋" w:eastAsia="仿宋" w:cs="Times New Roman"/>
                <w:bCs/>
                <w:color w:val="000000" w:themeColor="text1"/>
                <w:sz w:val="32"/>
                <w:szCs w:val="32"/>
              </w:rPr>
            </w:pPr>
            <w:r>
              <w:rPr>
                <w:rFonts w:hint="eastAsia" w:ascii="仿宋" w:hAnsi="仿宋" w:eastAsia="仿宋" w:cs="Times New Roman"/>
                <w:bCs/>
                <w:color w:val="000000" w:themeColor="text1"/>
                <w:szCs w:val="21"/>
              </w:rPr>
              <w:t>中华文化才艺与展示</w:t>
            </w:r>
          </w:p>
        </w:tc>
        <w:tc>
          <w:tcPr>
            <w:tcW w:w="175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Calibri" w:hAnsi="Calibri" w:eastAsia="宋体" w:cs="Calibri"/>
                <w:color w:val="000000" w:themeColor="text1"/>
                <w:szCs w:val="21"/>
              </w:rPr>
              <w:t>C</w:t>
            </w:r>
          </w:p>
        </w:tc>
        <w:tc>
          <w:tcPr>
            <w:tcW w:w="1170"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1</w:t>
            </w:r>
          </w:p>
        </w:tc>
        <w:tc>
          <w:tcPr>
            <w:tcW w:w="2485" w:type="dxa"/>
            <w:vAlign w:val="center"/>
          </w:tcPr>
          <w:p>
            <w:pPr>
              <w:adjustRightInd w:val="0"/>
              <w:snapToGrid w:val="0"/>
              <w:spacing w:line="300" w:lineRule="auto"/>
              <w:jc w:val="center"/>
              <w:rPr>
                <w:rFonts w:ascii="仿宋" w:hAnsi="仿宋" w:eastAsia="仿宋" w:cs="Times New Roman"/>
                <w:bCs/>
                <w:color w:val="000000" w:themeColor="text1"/>
                <w:szCs w:val="21"/>
              </w:rPr>
            </w:pPr>
            <w:r>
              <w:rPr>
                <w:rFonts w:hint="eastAsia" w:ascii="仿宋" w:hAnsi="仿宋" w:eastAsia="仿宋" w:cs="Times New Roman"/>
                <w:bCs/>
                <w:color w:val="000000" w:themeColor="text1"/>
                <w:szCs w:val="21"/>
              </w:rPr>
              <w:t>第二学期 周四6、7节</w:t>
            </w:r>
          </w:p>
        </w:tc>
      </w:tr>
    </w:tbl>
    <w:p>
      <w:pPr>
        <w:spacing w:line="360" w:lineRule="auto"/>
        <w:ind w:firstLine="640" w:firstLineChars="200"/>
        <w:rPr>
          <w:rFonts w:ascii="仿宋" w:hAnsi="仿宋" w:eastAsia="仿宋"/>
          <w:bCs/>
          <w:color w:val="000000" w:themeColor="text1"/>
          <w:sz w:val="32"/>
          <w:szCs w:val="32"/>
        </w:rPr>
      </w:pPr>
      <w:r>
        <w:rPr>
          <w:rFonts w:hint="eastAsia" w:ascii="仿宋" w:hAnsi="仿宋" w:eastAsia="仿宋"/>
          <w:bCs/>
          <w:color w:val="000000" w:themeColor="text1"/>
          <w:sz w:val="32"/>
          <w:szCs w:val="32"/>
        </w:rPr>
        <w:t>（以上为来华留学生课程）</w:t>
      </w:r>
    </w:p>
    <w:p>
      <w:pPr>
        <w:widowControl/>
        <w:jc w:val="left"/>
        <w:rPr>
          <w:rFonts w:ascii="仿宋" w:hAnsi="仿宋" w:eastAsia="仿宋"/>
          <w:bCs/>
          <w:color w:val="000000" w:themeColor="text1"/>
          <w:sz w:val="32"/>
          <w:szCs w:val="32"/>
        </w:rPr>
      </w:pPr>
      <w:r>
        <w:rPr>
          <w:rFonts w:ascii="仿宋" w:hAnsi="仿宋" w:eastAsia="仿宋"/>
          <w:bCs/>
          <w:color w:val="000000" w:themeColor="text1"/>
          <w:sz w:val="32"/>
          <w:szCs w:val="32"/>
        </w:rPr>
        <w:br w:type="page"/>
      </w:r>
    </w:p>
    <w:p>
      <w:pPr>
        <w:adjustRightInd w:val="0"/>
        <w:snapToGrid w:val="0"/>
        <w:spacing w:line="300" w:lineRule="auto"/>
        <w:ind w:firstLine="1280" w:firstLineChars="4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附录3.</w:t>
      </w:r>
      <w:r>
        <w:rPr>
          <w:rFonts w:ascii="仿宋" w:hAnsi="仿宋" w:eastAsia="仿宋"/>
          <w:b/>
          <w:bCs/>
          <w:color w:val="000000" w:themeColor="text1"/>
          <w:sz w:val="32"/>
          <w:szCs w:val="32"/>
        </w:rPr>
        <w:t>课程考核记录</w:t>
      </w:r>
    </w:p>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7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63"/>
        <w:gridCol w:w="1110"/>
        <w:gridCol w:w="480"/>
        <w:gridCol w:w="585"/>
        <w:gridCol w:w="812"/>
        <w:gridCol w:w="1065"/>
        <w:gridCol w:w="660"/>
        <w:gridCol w:w="120"/>
        <w:gridCol w:w="540"/>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363"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1504534001</w:t>
            </w:r>
          </w:p>
        </w:tc>
        <w:tc>
          <w:tcPr>
            <w:tcW w:w="111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1877"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汉语作为第二语言教学</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64</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93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47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0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812"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周毅</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2254"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2254"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221504453007</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樊华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83</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221504453009</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赖潇芳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221504453014</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绪梦莹</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221504453016</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蒋卉</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80</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221504453019</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王嫱</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221504453020</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周珊</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221504453021</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杨新红</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221504453024</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崔赛凤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79</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221504453025</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余优留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221504453028</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郑新跃</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221504453033</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李雨霖</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921504453001</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林娜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82</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921504453002</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夏雨</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6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921504453003</w:t>
            </w:r>
          </w:p>
        </w:tc>
        <w:tc>
          <w:tcPr>
            <w:tcW w:w="139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蕾娜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72</w:t>
            </w:r>
          </w:p>
        </w:tc>
        <w:tc>
          <w:tcPr>
            <w:tcW w:w="147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85"/>
        <w:gridCol w:w="1080"/>
        <w:gridCol w:w="465"/>
        <w:gridCol w:w="720"/>
        <w:gridCol w:w="900"/>
        <w:gridCol w:w="1065"/>
        <w:gridCol w:w="660"/>
        <w:gridCol w:w="120"/>
        <w:gridCol w:w="54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18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1504532005</w:t>
            </w:r>
          </w:p>
        </w:tc>
        <w:tc>
          <w:tcPr>
            <w:tcW w:w="108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2085"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跨文化交际</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32</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2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18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严慧仙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997"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997"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樊华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赖潇芳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绪梦莹</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蒋卉</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王嫱</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周珊</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杨新红</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崔赛凤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余优留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郑新跃</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李雨霖</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林娜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83</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夏雨</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蕾娜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jc w:val="center"/>
        <w:rPr>
          <w:rFonts w:asciiTheme="minorEastAsia" w:hAnsiTheme="minorEastAsia" w:cstheme="minorEastAsia"/>
          <w:b/>
          <w:bCs/>
          <w:color w:val="000000" w:themeColor="text1"/>
          <w:sz w:val="44"/>
          <w:szCs w:val="44"/>
        </w:rPr>
      </w:pPr>
    </w:p>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354"/>
        <w:gridCol w:w="1110"/>
        <w:gridCol w:w="510"/>
        <w:gridCol w:w="570"/>
        <w:gridCol w:w="900"/>
        <w:gridCol w:w="1125"/>
        <w:gridCol w:w="506"/>
        <w:gridCol w:w="184"/>
        <w:gridCol w:w="476"/>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35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1504532007</w:t>
            </w:r>
          </w:p>
        </w:tc>
        <w:tc>
          <w:tcPr>
            <w:tcW w:w="111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1980"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汉外语言对比与偏误分析</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506"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32</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464"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0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税昌锡</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843"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444"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843"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69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221504453007</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樊华</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221504453009</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赖潇芳</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221504453014</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绪梦莹</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221504453016</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蒋卉</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221504453019</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王嫱</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221504453020</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周珊</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221504453021</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杨新红</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221504453024</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崔赛凤</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221504453025</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余优留</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221504453028</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郑新跃</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221504453033</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李雨霖</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921504453001</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林娜</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921504453002</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夏雨</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58"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921504453003</w:t>
            </w:r>
          </w:p>
        </w:tc>
        <w:tc>
          <w:tcPr>
            <w:tcW w:w="147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蕾娜</w:t>
            </w:r>
          </w:p>
        </w:tc>
        <w:tc>
          <w:tcPr>
            <w:tcW w:w="112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69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153"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br w:type="page"/>
      </w:r>
    </w:p>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85"/>
        <w:gridCol w:w="1080"/>
        <w:gridCol w:w="465"/>
        <w:gridCol w:w="720"/>
        <w:gridCol w:w="900"/>
        <w:gridCol w:w="1065"/>
        <w:gridCol w:w="660"/>
        <w:gridCol w:w="120"/>
        <w:gridCol w:w="54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18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1504532006</w:t>
            </w:r>
          </w:p>
        </w:tc>
        <w:tc>
          <w:tcPr>
            <w:tcW w:w="108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2085"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汉语语言学导论</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32</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2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18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胡云晚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997"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997"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83</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93</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周珊</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93</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林娜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夏雨</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蕾娜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adjustRightInd w:val="0"/>
        <w:snapToGrid w:val="0"/>
        <w:spacing w:line="300" w:lineRule="auto"/>
        <w:ind w:firstLine="1280" w:firstLineChars="400"/>
        <w:rPr>
          <w:rFonts w:ascii="仿宋" w:hAnsi="仿宋" w:eastAsia="仿宋"/>
          <w:b/>
          <w:bCs/>
          <w:color w:val="000000" w:themeColor="text1"/>
          <w:sz w:val="32"/>
          <w:szCs w:val="32"/>
        </w:rPr>
      </w:pPr>
    </w:p>
    <w:p>
      <w:pPr>
        <w:adjustRightInd w:val="0"/>
        <w:snapToGrid w:val="0"/>
        <w:spacing w:line="300" w:lineRule="auto"/>
        <w:ind w:firstLine="1280" w:firstLineChars="400"/>
        <w:rPr>
          <w:rFonts w:ascii="仿宋" w:hAnsi="仿宋" w:eastAsia="仿宋"/>
          <w:b/>
          <w:bCs/>
          <w:color w:val="000000" w:themeColor="text1"/>
          <w:sz w:val="32"/>
          <w:szCs w:val="32"/>
        </w:rPr>
      </w:pPr>
      <w:r>
        <w:rPr>
          <w:rFonts w:ascii="仿宋" w:hAnsi="仿宋" w:eastAsia="仿宋"/>
          <w:b/>
          <w:bCs/>
          <w:color w:val="000000" w:themeColor="text1"/>
          <w:sz w:val="32"/>
          <w:szCs w:val="32"/>
        </w:rPr>
        <w:br w:type="page"/>
      </w:r>
    </w:p>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85"/>
        <w:gridCol w:w="1080"/>
        <w:gridCol w:w="465"/>
        <w:gridCol w:w="720"/>
        <w:gridCol w:w="900"/>
        <w:gridCol w:w="1065"/>
        <w:gridCol w:w="660"/>
        <w:gridCol w:w="120"/>
        <w:gridCol w:w="54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18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1504532009</w:t>
            </w:r>
          </w:p>
        </w:tc>
        <w:tc>
          <w:tcPr>
            <w:tcW w:w="108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2085"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中国思想文化</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32</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2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18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张嵎、张琴</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997"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教授/副教授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997"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樊华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83</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赖潇芳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81</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87</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绪梦莹</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蒋卉</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86</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王嫱</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杨新红</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崔赛凤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79</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余优留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郑新跃</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82</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84</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李雨霖</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w:t>
            </w:r>
          </w:p>
        </w:tc>
        <w:tc>
          <w:tcPr>
            <w:tcW w:w="780" w:type="dxa"/>
            <w:gridSpan w:val="2"/>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80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adjustRightInd w:val="0"/>
        <w:snapToGrid w:val="0"/>
        <w:spacing w:line="300" w:lineRule="auto"/>
        <w:ind w:firstLine="1280" w:firstLineChars="400"/>
        <w:rPr>
          <w:rFonts w:ascii="仿宋" w:hAnsi="仿宋" w:eastAsia="仿宋"/>
          <w:b/>
          <w:bCs/>
          <w:color w:val="000000" w:themeColor="text1"/>
          <w:sz w:val="32"/>
          <w:szCs w:val="32"/>
        </w:rPr>
      </w:pPr>
    </w:p>
    <w:p>
      <w:pPr>
        <w:widowControl/>
        <w:jc w:val="left"/>
        <w:rPr>
          <w:b/>
          <w:color w:val="000000" w:themeColor="text1"/>
          <w:sz w:val="32"/>
          <w:szCs w:val="32"/>
        </w:rPr>
      </w:pPr>
      <w:r>
        <w:rPr>
          <w:rFonts w:ascii="宋体" w:hAnsi="宋体"/>
          <w:color w:val="000000" w:themeColor="text1"/>
          <w:szCs w:val="21"/>
        </w:rPr>
        <w:object>
          <v:shape id="_x0000_i1025" o:spt="75" type="#_x0000_t75" style="height:687.5pt;width:459.5pt;" o:ole="t" filled="f" o:preferrelative="t" stroked="f" coordsize="21600,21600">
            <v:path/>
            <v:fill on="f" focussize="0,0"/>
            <v:stroke on="f" joinstyle="miter"/>
            <v:imagedata r:id="rId7" o:title=""/>
            <o:lock v:ext="edit" aspectratio="t"/>
            <w10:wrap type="none"/>
            <w10:anchorlock/>
          </v:shape>
          <o:OLEObject Type="Embed" ProgID="Word.Document.8" ShapeID="_x0000_i1025" DrawAspect="Content" ObjectID="_1468075725" r:id="rId6">
            <o:LockedField>false</o:LockedField>
          </o:OLEObject>
        </w:object>
      </w:r>
      <w:r>
        <w:rPr>
          <w:rFonts w:ascii="宋体" w:hAnsi="宋体"/>
          <w:color w:val="000000" w:themeColor="text1"/>
          <w:szCs w:val="21"/>
        </w:rPr>
        <w:object>
          <v:shape id="_x0000_i1026" o:spt="75" type="#_x0000_t75" style="height:687.5pt;width:494.5pt;" o:ole="t" filled="f" o:preferrelative="t" stroked="f" coordsize="21600,21600">
            <v:path/>
            <v:fill on="f" focussize="0,0"/>
            <v:stroke on="f" joinstyle="miter"/>
            <v:imagedata r:id="rId9" o:title=""/>
            <o:lock v:ext="edit" aspectratio="t"/>
            <w10:wrap type="none"/>
            <w10:anchorlock/>
          </v:shape>
          <o:OLEObject Type="Embed" ProgID="Word.Document.8" ShapeID="_x0000_i1026" DrawAspect="Content" ObjectID="_1468075726" r:id="rId8">
            <o:LockedField>false</o:LockedField>
          </o:OLEObject>
        </w:object>
      </w:r>
      <w:r>
        <w:rPr>
          <w:rFonts w:ascii="宋体" w:hAnsi="宋体"/>
          <w:color w:val="000000" w:themeColor="text1"/>
          <w:szCs w:val="21"/>
        </w:rPr>
        <w:object>
          <v:shape id="_x0000_i1027" o:spt="75" type="#_x0000_t75" style="height:685.5pt;width:494.5pt;" o:ole="t" filled="f" o:preferrelative="t" stroked="f" coordsize="21600,21600">
            <v:path/>
            <v:fill on="f" focussize="0,0"/>
            <v:stroke on="f" joinstyle="miter"/>
            <v:imagedata r:id="rId11" o:title=""/>
            <o:lock v:ext="edit" aspectratio="t"/>
            <w10:wrap type="none"/>
            <w10:anchorlock/>
          </v:shape>
          <o:OLEObject Type="Embed" ProgID="Word.Document.8" ShapeID="_x0000_i1027" DrawAspect="Content" ObjectID="_1468075727" r:id="rId10">
            <o:LockedField>false</o:LockedField>
          </o:OLEObject>
        </w:object>
      </w:r>
      <w:r>
        <w:rPr>
          <w:b/>
          <w:color w:val="000000" w:themeColor="text1"/>
          <w:sz w:val="32"/>
          <w:szCs w:val="32"/>
        </w:rPr>
        <w:object>
          <v:shape id="_x0000_i1028" o:spt="75" type="#_x0000_t75" style="height:685.5pt;width:494.5pt;" o:ole="t" filled="f" o:preferrelative="t" stroked="f" coordsize="21600,21600">
            <v:path/>
            <v:fill on="f" focussize="0,0"/>
            <v:stroke on="f" joinstyle="miter"/>
            <v:imagedata r:id="rId13" o:title=""/>
            <o:lock v:ext="edit" aspectratio="t"/>
            <w10:wrap type="none"/>
            <w10:anchorlock/>
          </v:shape>
          <o:OLEObject Type="Embed" ProgID="Word.Document.8" ShapeID="_x0000_i1028" DrawAspect="Content" ObjectID="_1468075728" r:id="rId12">
            <o:LockedField>false</o:LockedField>
          </o:OLEObject>
        </w:object>
      </w:r>
    </w:p>
    <w:p>
      <w:pPr>
        <w:jc w:val="center"/>
        <w:rPr>
          <w:rFonts w:asciiTheme="minorEastAsia" w:hAnsiTheme="minorEastAsia" w:cstheme="minorEastAsia"/>
          <w:b/>
          <w:bCs/>
          <w:color w:val="000000" w:themeColor="text1"/>
          <w:sz w:val="44"/>
          <w:szCs w:val="44"/>
        </w:rPr>
      </w:pPr>
      <w:r>
        <w:rPr>
          <w:b/>
          <w:color w:val="000000" w:themeColor="text1"/>
          <w:sz w:val="32"/>
          <w:szCs w:val="32"/>
        </w:rPr>
        <w:br w:type="page"/>
      </w: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85"/>
        <w:gridCol w:w="1080"/>
        <w:gridCol w:w="465"/>
        <w:gridCol w:w="720"/>
        <w:gridCol w:w="900"/>
        <w:gridCol w:w="1065"/>
        <w:gridCol w:w="660"/>
        <w:gridCol w:w="120"/>
        <w:gridCol w:w="54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18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1504531013</w:t>
            </w:r>
          </w:p>
        </w:tc>
        <w:tc>
          <w:tcPr>
            <w:tcW w:w="108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2085"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国外中小学教育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16</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2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18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俞燕君</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997"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国外中小学教育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997"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刘天捷</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白湛钰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侯晓岚</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朱玉芬</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王庆玲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张娜</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樊华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潘益青</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221504453009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赖潇芳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江坤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茹彦龙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张青云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王晨蕾</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绪梦莹</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蒋卉</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王杰于</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马思敏</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221504453019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王嫱</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周珊</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杨新红</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孙宏茂</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王旭</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崔赛凤</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221504453025</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余优留</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221504453026</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俞洋</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221504453027</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邱峥艳</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221504453028</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郑新跃</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221504453029</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王晨露</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221504453030</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聂慧先</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221504453031</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王津</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221504453032</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陈杰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221504453033</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李雨霖</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221504453034</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倪永峰</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bl>
    <w:p>
      <w:pPr>
        <w:jc w:val="left"/>
        <w:rPr>
          <w:rFonts w:asciiTheme="minorEastAsia" w:hAnsiTheme="minorEastAsia" w:cstheme="minorEastAsia"/>
          <w:color w:val="000000" w:themeColor="text1"/>
          <w:sz w:val="18"/>
          <w:szCs w:val="18"/>
        </w:rPr>
      </w:pP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br w:type="page"/>
      </w:r>
    </w:p>
    <w:p>
      <w:pPr>
        <w:jc w:val="center"/>
        <w:rPr>
          <w:rFonts w:asciiTheme="minorEastAsia" w:hAnsiTheme="minorEastAsia" w:cstheme="minorEastAsia"/>
          <w:b/>
          <w:bCs/>
          <w:color w:val="000000" w:themeColor="text1"/>
          <w:sz w:val="44"/>
          <w:szCs w:val="44"/>
        </w:rPr>
      </w:pPr>
      <w:r>
        <w:rPr>
          <w:rFonts w:hint="eastAsia" w:asciiTheme="minorEastAsia" w:hAnsiTheme="minorEastAsia" w:cstheme="minorEastAsia"/>
          <w:b/>
          <w:bCs/>
          <w:color w:val="000000" w:themeColor="text1"/>
          <w:sz w:val="44"/>
          <w:szCs w:val="44"/>
        </w:rPr>
        <w:t>浙江科技学院研究生成绩报告单</w:t>
      </w:r>
    </w:p>
    <w:tbl>
      <w:tblPr>
        <w:tblStyle w:val="31"/>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185"/>
        <w:gridCol w:w="1080"/>
        <w:gridCol w:w="465"/>
        <w:gridCol w:w="720"/>
        <w:gridCol w:w="900"/>
        <w:gridCol w:w="1065"/>
        <w:gridCol w:w="660"/>
        <w:gridCol w:w="120"/>
        <w:gridCol w:w="540"/>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课程编号</w:t>
            </w:r>
          </w:p>
        </w:tc>
        <w:tc>
          <w:tcPr>
            <w:tcW w:w="1185" w:type="dxa"/>
            <w:vAlign w:val="center"/>
          </w:tcPr>
          <w:p>
            <w:pPr>
              <w:jc w:val="center"/>
              <w:rPr>
                <w:rFonts w:eastAsia="宋体" w:asciiTheme="minorEastAsia" w:hAnsiTheme="minorEastAsia" w:cstheme="minorEastAsia"/>
                <w:color w:val="000000" w:themeColor="text1"/>
                <w:szCs w:val="21"/>
              </w:rPr>
            </w:pPr>
            <w:r>
              <w:rPr>
                <w:rFonts w:eastAsia="宋体" w:asciiTheme="minorEastAsia" w:hAnsiTheme="minorEastAsia" w:cstheme="minorEastAsia"/>
                <w:color w:val="000000" w:themeColor="text1"/>
                <w:szCs w:val="21"/>
              </w:rPr>
              <w:t xml:space="preserve">1504531012  </w:t>
            </w:r>
          </w:p>
        </w:tc>
        <w:tc>
          <w:tcPr>
            <w:tcW w:w="108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课程名称</w:t>
            </w:r>
          </w:p>
        </w:tc>
        <w:tc>
          <w:tcPr>
            <w:tcW w:w="2085" w:type="dxa"/>
            <w:gridSpan w:val="3"/>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中外文化比较</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总学时</w:t>
            </w:r>
          </w:p>
        </w:tc>
        <w:tc>
          <w:tcPr>
            <w:tcW w:w="66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16</w:t>
            </w:r>
          </w:p>
        </w:tc>
        <w:tc>
          <w:tcPr>
            <w:tcW w:w="66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学分</w:t>
            </w:r>
          </w:p>
        </w:tc>
        <w:tc>
          <w:tcPr>
            <w:tcW w:w="677"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开课院系</w:t>
            </w:r>
          </w:p>
        </w:tc>
        <w:tc>
          <w:tcPr>
            <w:tcW w:w="226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人文与国际教育学院</w:t>
            </w:r>
          </w:p>
        </w:tc>
        <w:tc>
          <w:tcPr>
            <w:tcW w:w="118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任课老师</w:t>
            </w:r>
          </w:p>
        </w:tc>
        <w:tc>
          <w:tcPr>
            <w:tcW w:w="900"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于云</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职称</w:t>
            </w:r>
          </w:p>
        </w:tc>
        <w:tc>
          <w:tcPr>
            <w:tcW w:w="1997" w:type="dxa"/>
            <w:gridSpan w:val="4"/>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4"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班级</w:t>
            </w:r>
          </w:p>
        </w:tc>
        <w:tc>
          <w:tcPr>
            <w:tcW w:w="4350" w:type="dxa"/>
            <w:gridSpan w:val="5"/>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15级汉硕留学生</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考试时间</w:t>
            </w:r>
          </w:p>
        </w:tc>
        <w:tc>
          <w:tcPr>
            <w:tcW w:w="1997" w:type="dxa"/>
            <w:gridSpan w:val="4"/>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专业</w:t>
            </w:r>
          </w:p>
        </w:tc>
        <w:tc>
          <w:tcPr>
            <w:tcW w:w="1545"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学号</w:t>
            </w:r>
          </w:p>
        </w:tc>
        <w:tc>
          <w:tcPr>
            <w:tcW w:w="162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姓名</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考核形式</w:t>
            </w:r>
          </w:p>
        </w:tc>
        <w:tc>
          <w:tcPr>
            <w:tcW w:w="780"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成绩属性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921509953001</w:t>
            </w:r>
          </w:p>
        </w:tc>
        <w:tc>
          <w:tcPr>
            <w:tcW w:w="162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 xml:space="preserve">Leverenkova Olena                                                                                                          </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88</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921509953002</w:t>
            </w:r>
          </w:p>
        </w:tc>
        <w:tc>
          <w:tcPr>
            <w:tcW w:w="162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OLECKSANDRA KARPOVYCH</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90</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汉语国际教育</w:t>
            </w:r>
          </w:p>
        </w:tc>
        <w:tc>
          <w:tcPr>
            <w:tcW w:w="1545"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921509953003</w:t>
            </w:r>
          </w:p>
        </w:tc>
        <w:tc>
          <w:tcPr>
            <w:tcW w:w="162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Smishko Olena</w:t>
            </w:r>
          </w:p>
        </w:tc>
        <w:tc>
          <w:tcPr>
            <w:tcW w:w="1065" w:type="dxa"/>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考查</w:t>
            </w:r>
          </w:p>
        </w:tc>
        <w:tc>
          <w:tcPr>
            <w:tcW w:w="780" w:type="dxa"/>
            <w:gridSpan w:val="2"/>
            <w:vAlign w:val="center"/>
          </w:tcPr>
          <w:p>
            <w:pPr>
              <w:jc w:val="center"/>
              <w:rPr>
                <w:rFonts w:ascii="宋体" w:hAnsi="宋体" w:eastAsia="宋体" w:cs="宋体"/>
                <w:color w:val="000000" w:themeColor="text1"/>
                <w:sz w:val="20"/>
                <w:szCs w:val="20"/>
              </w:rPr>
            </w:pPr>
            <w:r>
              <w:rPr>
                <w:rFonts w:hint="eastAsia" w:ascii="Times New Roman" w:hAnsi="Times New Roman" w:eastAsia="宋体" w:cs="Times New Roman"/>
                <w:color w:val="000000" w:themeColor="text1"/>
                <w:sz w:val="20"/>
                <w:szCs w:val="20"/>
              </w:rPr>
              <w:t>85</w:t>
            </w:r>
          </w:p>
        </w:tc>
        <w:tc>
          <w:tcPr>
            <w:tcW w:w="1217" w:type="dxa"/>
            <w:gridSpan w:val="2"/>
            <w:vAlign w:val="center"/>
          </w:tcPr>
          <w:p>
            <w:pPr>
              <w:jc w:val="center"/>
              <w:rPr>
                <w:rFonts w:eastAsia="宋体" w:asciiTheme="minorEastAsia" w:hAnsiTheme="minorEastAsia" w:cstheme="minorEastAsia"/>
                <w:color w:val="000000" w:themeColor="text1"/>
                <w:szCs w:val="21"/>
              </w:rPr>
            </w:pPr>
            <w:r>
              <w:rPr>
                <w:rFonts w:hint="eastAsia" w:eastAsia="宋体" w:asciiTheme="minorEastAsia" w:hAnsiTheme="minorEastAsia" w:cstheme="minorEastAsia"/>
                <w:color w:val="000000" w:themeColor="text1"/>
                <w:szCs w:val="21"/>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jc w:val="center"/>
        </w:trPr>
        <w:tc>
          <w:tcPr>
            <w:tcW w:w="2289" w:type="dxa"/>
            <w:gridSpan w:val="2"/>
            <w:vAlign w:val="center"/>
          </w:tcPr>
          <w:p>
            <w:pPr>
              <w:jc w:val="center"/>
              <w:rPr>
                <w:rFonts w:eastAsia="宋体" w:asciiTheme="minorEastAsia" w:hAnsiTheme="minorEastAsia" w:cstheme="minorEastAsia"/>
                <w:color w:val="000000" w:themeColor="text1"/>
                <w:szCs w:val="21"/>
              </w:rPr>
            </w:pPr>
          </w:p>
        </w:tc>
        <w:tc>
          <w:tcPr>
            <w:tcW w:w="1545" w:type="dxa"/>
            <w:gridSpan w:val="2"/>
            <w:vAlign w:val="center"/>
          </w:tcPr>
          <w:p>
            <w:pPr>
              <w:jc w:val="center"/>
              <w:rPr>
                <w:rFonts w:eastAsia="宋体" w:asciiTheme="minorEastAsia" w:hAnsiTheme="minorEastAsia" w:cstheme="minorEastAsia"/>
                <w:color w:val="000000" w:themeColor="text1"/>
                <w:szCs w:val="21"/>
              </w:rPr>
            </w:pPr>
          </w:p>
        </w:tc>
        <w:tc>
          <w:tcPr>
            <w:tcW w:w="1620" w:type="dxa"/>
            <w:gridSpan w:val="2"/>
            <w:vAlign w:val="center"/>
          </w:tcPr>
          <w:p>
            <w:pPr>
              <w:jc w:val="center"/>
              <w:rPr>
                <w:rFonts w:eastAsia="宋体" w:asciiTheme="minorEastAsia" w:hAnsiTheme="minorEastAsia" w:cstheme="minorEastAsia"/>
                <w:color w:val="000000" w:themeColor="text1"/>
                <w:szCs w:val="21"/>
              </w:rPr>
            </w:pPr>
          </w:p>
        </w:tc>
        <w:tc>
          <w:tcPr>
            <w:tcW w:w="1065" w:type="dxa"/>
            <w:vAlign w:val="center"/>
          </w:tcPr>
          <w:p>
            <w:pPr>
              <w:jc w:val="center"/>
              <w:rPr>
                <w:rFonts w:eastAsia="宋体" w:asciiTheme="minorEastAsia" w:hAnsiTheme="minorEastAsia" w:cstheme="minorEastAsia"/>
                <w:color w:val="000000" w:themeColor="text1"/>
                <w:szCs w:val="21"/>
              </w:rPr>
            </w:pPr>
          </w:p>
        </w:tc>
        <w:tc>
          <w:tcPr>
            <w:tcW w:w="780" w:type="dxa"/>
            <w:gridSpan w:val="2"/>
            <w:vAlign w:val="center"/>
          </w:tcPr>
          <w:p>
            <w:pPr>
              <w:jc w:val="center"/>
              <w:rPr>
                <w:rFonts w:eastAsia="宋体" w:asciiTheme="minorEastAsia" w:hAnsiTheme="minorEastAsia" w:cstheme="minorEastAsia"/>
                <w:color w:val="000000" w:themeColor="text1"/>
                <w:szCs w:val="21"/>
              </w:rPr>
            </w:pPr>
          </w:p>
        </w:tc>
        <w:tc>
          <w:tcPr>
            <w:tcW w:w="1217" w:type="dxa"/>
            <w:gridSpan w:val="2"/>
            <w:vAlign w:val="center"/>
          </w:tcPr>
          <w:p>
            <w:pPr>
              <w:jc w:val="center"/>
              <w:rPr>
                <w:rFonts w:eastAsia="宋体" w:asciiTheme="minorEastAsia" w:hAnsiTheme="minorEastAsia" w:cstheme="minorEastAsia"/>
                <w:color w:val="000000" w:themeColor="text1"/>
                <w:szCs w:val="21"/>
              </w:rPr>
            </w:pPr>
          </w:p>
        </w:tc>
      </w:tr>
    </w:tbl>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br w:type="page"/>
      </w:r>
      <w:r>
        <w:rPr>
          <w:rFonts w:asciiTheme="minorEastAsia" w:hAnsiTheme="minorEastAsia" w:cstheme="minorEastAsia"/>
          <w:color w:val="000000" w:themeColor="text1"/>
          <w:sz w:val="18"/>
          <w:szCs w:val="18"/>
        </w:rPr>
        <w:object>
          <v:shape id="_x0000_i1029" o:spt="75" type="#_x0000_t75" style="height:686pt;width:494.5pt;" o:ole="t" filled="f" o:preferrelative="t" stroked="f" coordsize="21600,21600">
            <v:path/>
            <v:fill on="f" focussize="0,0"/>
            <v:stroke on="f" joinstyle="miter"/>
            <v:imagedata r:id="rId15" o:title=""/>
            <o:lock v:ext="edit" aspectratio="t"/>
            <w10:wrap type="none"/>
            <w10:anchorlock/>
          </v:shape>
          <o:OLEObject Type="Embed" ProgID="Word.Document.8" ShapeID="_x0000_i1029" DrawAspect="Content" ObjectID="_1468075729" r:id="rId14">
            <o:LockedField>false</o:LockedField>
          </o:OLEObject>
        </w:object>
      </w:r>
      <w:r>
        <w:rPr>
          <w:rFonts w:asciiTheme="minorEastAsia" w:hAnsiTheme="minorEastAsia" w:cstheme="minorEastAsia"/>
          <w:color w:val="000000" w:themeColor="text1"/>
          <w:sz w:val="18"/>
          <w:szCs w:val="18"/>
        </w:rPr>
        <w:object>
          <v:shape id="_x0000_i1030" o:spt="75" type="#_x0000_t75" style="height:697.5pt;width:494.5pt;" o:ole="t" filled="f" o:preferrelative="t" stroked="f" coordsize="21600,21600">
            <v:path/>
            <v:fill on="f" focussize="0,0"/>
            <v:stroke on="f" joinstyle="miter"/>
            <v:imagedata r:id="rId17" o:title=""/>
            <o:lock v:ext="edit" aspectratio="t"/>
            <w10:wrap type="none"/>
            <w10:anchorlock/>
          </v:shape>
          <o:OLEObject Type="Embed" ProgID="Word.Document.8" ShapeID="_x0000_i1030" DrawAspect="Content" ObjectID="_1468075730" r:id="rId16">
            <o:LockedField>false</o:LockedField>
          </o:OLEObject>
        </w:object>
      </w:r>
      <w:r>
        <w:rPr>
          <w:rFonts w:asciiTheme="minorEastAsia" w:hAnsiTheme="minorEastAsia" w:cstheme="minorEastAsia"/>
          <w:color w:val="000000" w:themeColor="text1"/>
          <w:sz w:val="18"/>
          <w:szCs w:val="18"/>
        </w:rPr>
        <w:object>
          <v:shape id="_x0000_i1031" o:spt="75" type="#_x0000_t75" style="height:664.5pt;width:476pt;" o:ole="t" filled="f" o:preferrelative="t" stroked="f" coordsize="21600,21600">
            <v:path/>
            <v:fill on="f" focussize="0,0"/>
            <v:stroke on="f" joinstyle="miter"/>
            <v:imagedata r:id="rId19" o:title=""/>
            <o:lock v:ext="edit" aspectratio="t"/>
            <w10:wrap type="none"/>
            <w10:anchorlock/>
          </v:shape>
          <o:OLEObject Type="Embed" ProgID="Word.Document.8" ShapeID="_x0000_i1031" DrawAspect="Content" ObjectID="_1468075731" r:id="rId18">
            <o:LockedField>false</o:LockedField>
          </o:OLEObject>
        </w:object>
      </w:r>
      <w:r>
        <w:rPr>
          <w:rFonts w:asciiTheme="minorEastAsia" w:hAnsiTheme="minorEastAsia" w:cstheme="minorEastAsia"/>
          <w:color w:val="000000" w:themeColor="text1"/>
          <w:sz w:val="18"/>
          <w:szCs w:val="18"/>
        </w:rPr>
        <w:object>
          <v:shape id="_x0000_i1032" o:spt="75" type="#_x0000_t75" style="height:690.5pt;width:494pt;" o:ole="t" filled="f" o:preferrelative="t" stroked="f" coordsize="21600,21600">
            <v:path/>
            <v:fill on="f" focussize="0,0"/>
            <v:stroke on="f" joinstyle="miter"/>
            <v:imagedata r:id="rId21" o:title=""/>
            <o:lock v:ext="edit" aspectratio="t"/>
            <w10:wrap type="none"/>
            <w10:anchorlock/>
          </v:shape>
          <o:OLEObject Type="Embed" ProgID="Word.Document.8" ShapeID="_x0000_i1032" DrawAspect="Content" ObjectID="_1468075732" r:id="rId20">
            <o:LockedField>false</o:LockedField>
          </o:OLEObject>
        </w:object>
      </w:r>
      <w:r>
        <w:rPr>
          <w:rFonts w:asciiTheme="minorEastAsia" w:hAnsiTheme="minorEastAsia" w:cstheme="minorEastAsia"/>
          <w:color w:val="000000" w:themeColor="text1"/>
          <w:sz w:val="18"/>
          <w:szCs w:val="18"/>
        </w:rPr>
        <w:object>
          <v:shape id="_x0000_i1033" o:spt="75" type="#_x0000_t75" style="height:697pt;width:494pt;" o:ole="t" filled="f" o:preferrelative="t" stroked="f" coordsize="21600,21600">
            <v:path/>
            <v:fill on="f" focussize="0,0"/>
            <v:stroke on="f" joinstyle="miter"/>
            <v:imagedata r:id="rId23" o:title=""/>
            <o:lock v:ext="edit" aspectratio="t"/>
            <w10:wrap type="none"/>
            <w10:anchorlock/>
          </v:shape>
          <o:OLEObject Type="Embed" ProgID="Word.Document.8" ShapeID="_x0000_i1033" DrawAspect="Content" ObjectID="_1468075733" r:id="rId22">
            <o:LockedField>false</o:LockedField>
          </o:OLEObject>
        </w:object>
      </w:r>
      <w:r>
        <w:rPr>
          <w:rFonts w:asciiTheme="minorEastAsia" w:hAnsiTheme="minorEastAsia" w:cstheme="minorEastAsia"/>
          <w:color w:val="000000" w:themeColor="text1"/>
          <w:sz w:val="18"/>
          <w:szCs w:val="18"/>
        </w:rPr>
        <w:object>
          <v:shape id="_x0000_i1034" o:spt="75" type="#_x0000_t75" style="height:690.5pt;width:494pt;" o:ole="t" filled="f" o:preferrelative="t" stroked="f" coordsize="21600,21600">
            <v:path/>
            <v:fill on="f" focussize="0,0"/>
            <v:stroke on="f" joinstyle="miter"/>
            <v:imagedata r:id="rId25" o:title=""/>
            <o:lock v:ext="edit" aspectratio="t"/>
            <w10:wrap type="none"/>
            <w10:anchorlock/>
          </v:shape>
          <o:OLEObject Type="Embed" ProgID="Word.Document.8" ShapeID="_x0000_i1034" DrawAspect="Content" ObjectID="_1468075734" r:id="rId24">
            <o:LockedField>false</o:LockedField>
          </o:OLEObject>
        </w:object>
      </w:r>
      <w:r>
        <w:rPr>
          <w:rFonts w:asciiTheme="minorEastAsia" w:hAnsiTheme="minorEastAsia" w:cstheme="minorEastAsia"/>
          <w:color w:val="000000" w:themeColor="text1"/>
          <w:sz w:val="18"/>
          <w:szCs w:val="18"/>
        </w:rPr>
        <w:object>
          <v:shape id="_x0000_i1035" o:spt="75" type="#_x0000_t75" style="height:685pt;width:494pt;" o:ole="t" filled="f" o:preferrelative="t" stroked="f" coordsize="21600,21600">
            <v:path/>
            <v:fill on="f" focussize="0,0"/>
            <v:stroke on="f" joinstyle="miter"/>
            <v:imagedata r:id="rId27" o:title=""/>
            <o:lock v:ext="edit" aspectratio="t"/>
            <w10:wrap type="none"/>
            <w10:anchorlock/>
          </v:shape>
          <o:OLEObject Type="Embed" ProgID="Word.Document.8" ShapeID="_x0000_i1035" DrawAspect="Content" ObjectID="_1468075735" r:id="rId26">
            <o:LockedField>false</o:LockedField>
          </o:OLEObject>
        </w:object>
      </w:r>
      <w:r>
        <w:rPr>
          <w:rFonts w:asciiTheme="minorEastAsia" w:hAnsiTheme="minorEastAsia" w:cstheme="minorEastAsia"/>
          <w:color w:val="000000" w:themeColor="text1"/>
          <w:sz w:val="18"/>
          <w:szCs w:val="18"/>
        </w:rPr>
        <w:object>
          <v:shape id="_x0000_i1036" o:spt="75" type="#_x0000_t75" style="height:685pt;width:494pt;" o:ole="t" filled="f" o:preferrelative="t" stroked="f" coordsize="21600,21600">
            <v:path/>
            <v:fill on="f" focussize="0,0"/>
            <v:stroke on="f" joinstyle="miter"/>
            <v:imagedata r:id="rId29" o:title=""/>
            <o:lock v:ext="edit" aspectratio="t"/>
            <w10:wrap type="none"/>
            <w10:anchorlock/>
          </v:shape>
          <o:OLEObject Type="Embed" ProgID="Word.Document.8" ShapeID="_x0000_i1036" DrawAspect="Content" ObjectID="_1468075736" r:id="rId28">
            <o:LockedField>false</o:LockedField>
          </o:OLEObject>
        </w:object>
      </w:r>
      <w:r>
        <w:rPr>
          <w:rFonts w:asciiTheme="minorEastAsia" w:hAnsiTheme="minorEastAsia" w:cstheme="minorEastAsia"/>
          <w:color w:val="000000" w:themeColor="text1"/>
          <w:sz w:val="18"/>
          <w:szCs w:val="18"/>
        </w:rPr>
        <w:object>
          <v:shape id="_x0000_i1037" o:spt="75" type="#_x0000_t75" style="height:687pt;width:494pt;" o:ole="t" filled="f" o:preferrelative="t" stroked="f" coordsize="21600,21600">
            <v:path/>
            <v:fill on="f" focussize="0,0"/>
            <v:stroke on="f" joinstyle="miter"/>
            <v:imagedata r:id="rId31" o:title=""/>
            <o:lock v:ext="edit" aspectratio="t"/>
            <w10:wrap type="none"/>
            <w10:anchorlock/>
          </v:shape>
          <o:OLEObject Type="Embed" ProgID="Word.Document.8" ShapeID="_x0000_i1037" DrawAspect="Content" ObjectID="_1468075737" r:id="rId30">
            <o:LockedField>false</o:LockedField>
          </o:OLEObject>
        </w:object>
      </w:r>
      <w:r>
        <w:rPr>
          <w:rFonts w:asciiTheme="minorEastAsia" w:hAnsiTheme="minorEastAsia" w:cstheme="minorEastAsia"/>
          <w:color w:val="000000" w:themeColor="text1"/>
          <w:sz w:val="18"/>
          <w:szCs w:val="18"/>
        </w:rPr>
        <w:object>
          <v:shape id="_x0000_i1038" o:spt="75" type="#_x0000_t75" style="height:685pt;width:494pt;" o:ole="t" filled="f" o:preferrelative="t" stroked="f" coordsize="21600,21600">
            <v:path/>
            <v:fill on="f" focussize="0,0"/>
            <v:stroke on="f" joinstyle="miter"/>
            <v:imagedata r:id="rId33" o:title=""/>
            <o:lock v:ext="edit" aspectratio="t"/>
            <w10:wrap type="none"/>
            <w10:anchorlock/>
          </v:shape>
          <o:OLEObject Type="Embed" ProgID="Word.Document.8" ShapeID="_x0000_i1038" DrawAspect="Content" ObjectID="_1468075738" r:id="rId32">
            <o:LockedField>false</o:LockedField>
          </o:OLEObject>
        </w:object>
      </w:r>
      <w:r>
        <w:rPr>
          <w:rFonts w:asciiTheme="minorEastAsia" w:hAnsiTheme="minorEastAsia" w:cstheme="minorEastAsia"/>
          <w:color w:val="000000" w:themeColor="text1"/>
          <w:sz w:val="18"/>
          <w:szCs w:val="18"/>
        </w:rPr>
        <w:object>
          <v:shape id="_x0000_i1039" o:spt="75" type="#_x0000_t75" style="height:685pt;width:494pt;" o:ole="t" filled="f" o:preferrelative="t" stroked="f" coordsize="21600,21600">
            <v:path/>
            <v:fill on="f" focussize="0,0"/>
            <v:stroke on="f" joinstyle="miter"/>
            <v:imagedata r:id="rId35" o:title=""/>
            <o:lock v:ext="edit" aspectratio="t"/>
            <w10:wrap type="none"/>
            <w10:anchorlock/>
          </v:shape>
          <o:OLEObject Type="Embed" ProgID="Word.Document.8" ShapeID="_x0000_i1039" DrawAspect="Content" ObjectID="_1468075739" r:id="rId34">
            <o:LockedField>false</o:LockedField>
          </o:OLEObject>
        </w:object>
      </w:r>
      <w:r>
        <w:rPr>
          <w:rFonts w:asciiTheme="minorEastAsia" w:hAnsiTheme="minorEastAsia" w:cstheme="minorEastAsia"/>
          <w:color w:val="000000" w:themeColor="text1"/>
          <w:sz w:val="18"/>
          <w:szCs w:val="18"/>
        </w:rPr>
        <w:object>
          <v:shape id="_x0000_i1040" o:spt="75" type="#_x0000_t75" style="height:689pt;width:494pt;" o:ole="t" filled="f" o:preferrelative="t" stroked="f" coordsize="21600,21600">
            <v:path/>
            <v:fill on="f" focussize="0,0"/>
            <v:stroke on="f" joinstyle="miter"/>
            <v:imagedata r:id="rId37" o:title=""/>
            <o:lock v:ext="edit" aspectratio="t"/>
            <w10:wrap type="none"/>
            <w10:anchorlock/>
          </v:shape>
          <o:OLEObject Type="Embed" ProgID="Word.Document.8" ShapeID="_x0000_i1040" DrawAspect="Content" ObjectID="_1468075740" r:id="rId36">
            <o:LockedField>false</o:LockedField>
          </o:OLEObject>
        </w:object>
      </w:r>
      <w:r>
        <w:rPr>
          <w:rFonts w:asciiTheme="minorEastAsia" w:hAnsiTheme="minorEastAsia" w:cstheme="minorEastAsia"/>
          <w:color w:val="000000" w:themeColor="text1"/>
          <w:sz w:val="18"/>
          <w:szCs w:val="18"/>
        </w:rPr>
        <w:object>
          <v:shape id="_x0000_i1041" o:spt="75" type="#_x0000_t75" style="height:689pt;width:494pt;" o:ole="t" filled="f" o:preferrelative="t" stroked="f" coordsize="21600,21600">
            <v:path/>
            <v:fill on="f" focussize="0,0"/>
            <v:stroke on="f" joinstyle="miter"/>
            <v:imagedata r:id="rId39" o:title=""/>
            <o:lock v:ext="edit" aspectratio="t"/>
            <w10:wrap type="none"/>
            <w10:anchorlock/>
          </v:shape>
          <o:OLEObject Type="Embed" ProgID="Word.Document.8" ShapeID="_x0000_i1041" DrawAspect="Content" ObjectID="_1468075741" r:id="rId38">
            <o:LockedField>false</o:LockedField>
          </o:OLEObject>
        </w:object>
      </w:r>
      <w:r>
        <w:rPr>
          <w:rFonts w:asciiTheme="minorEastAsia" w:hAnsiTheme="minorEastAsia" w:cstheme="minorEastAsia"/>
          <w:color w:val="000000" w:themeColor="text1"/>
          <w:sz w:val="18"/>
          <w:szCs w:val="18"/>
        </w:rPr>
        <w:object>
          <v:shape id="_x0000_i1042" o:spt="75" type="#_x0000_t75" style="height:686pt;width:494pt;" o:ole="t" filled="f" o:preferrelative="t" stroked="f" coordsize="21600,21600">
            <v:path/>
            <v:fill on="f" focussize="0,0"/>
            <v:stroke on="f" joinstyle="miter"/>
            <v:imagedata r:id="rId41" o:title=""/>
            <o:lock v:ext="edit" aspectratio="t"/>
            <w10:wrap type="none"/>
            <w10:anchorlock/>
          </v:shape>
          <o:OLEObject Type="Embed" ProgID="Word.Document.8" ShapeID="_x0000_i1042" DrawAspect="Content" ObjectID="_1468075742" r:id="rId40">
            <o:LockedField>false</o:LockedField>
          </o:OLEObject>
        </w:object>
      </w:r>
      <w:r>
        <w:rPr>
          <w:rFonts w:asciiTheme="minorEastAsia" w:hAnsiTheme="minorEastAsia" w:cstheme="minorEastAsia"/>
          <w:color w:val="000000" w:themeColor="text1"/>
          <w:sz w:val="18"/>
          <w:szCs w:val="18"/>
        </w:rPr>
        <w:object>
          <v:shape id="_x0000_i1043" o:spt="75" type="#_x0000_t75" style="height:691pt;width:494pt;" o:ole="t" filled="f" o:preferrelative="t" stroked="f" coordsize="21600,21600">
            <v:path/>
            <v:fill on="f" focussize="0,0"/>
            <v:stroke on="f" joinstyle="miter"/>
            <v:imagedata r:id="rId43" o:title=""/>
            <o:lock v:ext="edit" aspectratio="t"/>
            <w10:wrap type="none"/>
            <w10:anchorlock/>
          </v:shape>
          <o:OLEObject Type="Embed" ProgID="Word.Document.8" ShapeID="_x0000_i1043" DrawAspect="Content" ObjectID="_1468075743" r:id="rId42">
            <o:LockedField>false</o:LockedField>
          </o:OLEObject>
        </w:object>
      </w:r>
      <w:r>
        <w:rPr>
          <w:rFonts w:asciiTheme="minorEastAsia" w:hAnsiTheme="minorEastAsia" w:cstheme="minorEastAsia"/>
          <w:color w:val="000000" w:themeColor="text1"/>
          <w:sz w:val="18"/>
          <w:szCs w:val="18"/>
        </w:rPr>
        <w:object>
          <v:shape id="_x0000_i1044" o:spt="75" type="#_x0000_t75" style="height:690.5pt;width:494pt;" o:ole="t" filled="f" o:preferrelative="t" stroked="f" coordsize="21600,21600">
            <v:path/>
            <v:fill on="f" focussize="0,0"/>
            <v:stroke on="f" joinstyle="miter"/>
            <v:imagedata r:id="rId45" o:title=""/>
            <o:lock v:ext="edit" aspectratio="t"/>
            <w10:wrap type="none"/>
            <w10:anchorlock/>
          </v:shape>
          <o:OLEObject Type="Embed" ProgID="Word.Document.8" ShapeID="_x0000_i1044" DrawAspect="Content" ObjectID="_1468075744" r:id="rId44">
            <o:LockedField>false</o:LockedField>
          </o:OLEObject>
        </w:object>
      </w:r>
      <w:r>
        <w:rPr>
          <w:rFonts w:asciiTheme="minorEastAsia" w:hAnsiTheme="minorEastAsia" w:cstheme="minorEastAsia"/>
          <w:color w:val="000000" w:themeColor="text1"/>
          <w:sz w:val="18"/>
          <w:szCs w:val="18"/>
        </w:rPr>
        <w:object>
          <v:shape id="_x0000_i1045" o:spt="75" type="#_x0000_t75" style="height:690.5pt;width:494pt;" o:ole="t" filled="f" o:preferrelative="t" stroked="f" coordsize="21600,21600">
            <v:path/>
            <v:fill on="f" focussize="0,0"/>
            <v:stroke on="f" joinstyle="miter"/>
            <v:imagedata r:id="rId47" o:title=""/>
            <o:lock v:ext="edit" aspectratio="t"/>
            <w10:wrap type="none"/>
            <w10:anchorlock/>
          </v:shape>
          <o:OLEObject Type="Embed" ProgID="Word.Document.8" ShapeID="_x0000_i1045" DrawAspect="Content" ObjectID="_1468075745" r:id="rId46">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drawing>
          <wp:inline distT="0" distB="0" distL="0" distR="0">
            <wp:extent cx="6047740" cy="337820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8"/>
                    <a:srcRect/>
                    <a:stretch>
                      <a:fillRect/>
                    </a:stretch>
                  </pic:blipFill>
                  <pic:spPr>
                    <a:xfrm>
                      <a:off x="0" y="0"/>
                      <a:ext cx="6047740" cy="3378816"/>
                    </a:xfrm>
                    <a:prstGeom prst="rect">
                      <a:avLst/>
                    </a:prstGeom>
                    <a:noFill/>
                    <a:ln w="9525">
                      <a:noFill/>
                      <a:miter lim="800000"/>
                      <a:headEnd/>
                      <a:tailEnd/>
                    </a:ln>
                  </pic:spPr>
                </pic:pic>
              </a:graphicData>
            </a:graphic>
          </wp:inline>
        </w:drawing>
      </w:r>
    </w:p>
    <w:p>
      <w:pPr>
        <w:rPr>
          <w:rFonts w:asciiTheme="minorEastAsia" w:hAnsiTheme="minorEastAsia" w:cstheme="minorEastAsia"/>
          <w:sz w:val="18"/>
          <w:szCs w:val="18"/>
        </w:rPr>
      </w:pPr>
      <w:r>
        <w:rPr>
          <w:rFonts w:asciiTheme="minorEastAsia" w:hAnsiTheme="minorEastAsia" w:cstheme="minorEastAsia"/>
          <w:color w:val="000000" w:themeColor="text1"/>
          <w:sz w:val="18"/>
          <w:szCs w:val="18"/>
        </w:rPr>
        <w:drawing>
          <wp:inline distT="0" distB="0" distL="0" distR="0">
            <wp:extent cx="6098540" cy="1270000"/>
            <wp:effectExtent l="19050" t="0" r="0" b="0"/>
            <wp:docPr id="6" name="图片 100" descr="C:\Users\jsf\AppData\Local\Temp\15295925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0" descr="C:\Users\jsf\AppData\Local\Temp\1529592588(1).png"/>
                    <pic:cNvPicPr>
                      <a:picLocks noChangeAspect="1" noChangeArrowheads="1"/>
                    </pic:cNvPicPr>
                  </pic:nvPicPr>
                  <pic:blipFill>
                    <a:blip r:embed="rId49"/>
                    <a:srcRect/>
                    <a:stretch>
                      <a:fillRect/>
                    </a:stretch>
                  </pic:blipFill>
                  <pic:spPr>
                    <a:xfrm>
                      <a:off x="0" y="0"/>
                      <a:ext cx="6123342" cy="1275053"/>
                    </a:xfrm>
                    <a:prstGeom prst="rect">
                      <a:avLst/>
                    </a:prstGeom>
                    <a:noFill/>
                    <a:ln w="9525">
                      <a:noFill/>
                      <a:miter lim="800000"/>
                      <a:headEnd/>
                      <a:tailEnd/>
                    </a:ln>
                  </pic:spPr>
                </pic:pic>
              </a:graphicData>
            </a:graphic>
          </wp:inline>
        </w:drawing>
      </w:r>
    </w:p>
    <w:p>
      <w:pPr>
        <w:widowControl/>
        <w:jc w:val="left"/>
        <w:rPr>
          <w:rFonts w:asciiTheme="minorEastAsia" w:hAnsiTheme="minorEastAsia" w:cstheme="minorEastAsia"/>
          <w:sz w:val="18"/>
          <w:szCs w:val="18"/>
        </w:rPr>
      </w:pPr>
    </w:p>
    <w:p>
      <w:pPr>
        <w:widowControl/>
        <w:tabs>
          <w:tab w:val="left" w:pos="2520"/>
        </w:tabs>
        <w:jc w:val="left"/>
        <w:rPr>
          <w:rFonts w:asciiTheme="minorEastAsia" w:hAnsiTheme="minorEastAsia" w:cstheme="minorEastAsia"/>
          <w:sz w:val="18"/>
          <w:szCs w:val="18"/>
        </w:rPr>
      </w:pPr>
      <w:r>
        <w:rPr>
          <w:rFonts w:asciiTheme="minorEastAsia" w:hAnsiTheme="minorEastAsia" w:cstheme="minorEastAsia"/>
          <w:sz w:val="18"/>
          <w:szCs w:val="18"/>
        </w:rPr>
        <w:tab/>
      </w:r>
      <w:r>
        <w:rPr>
          <w:rFonts w:asciiTheme="minorEastAsia" w:hAnsiTheme="minorEastAsia" w:cstheme="minorEastAsia"/>
          <w:sz w:val="18"/>
          <w:szCs w:val="18"/>
        </w:rPr>
        <w:object>
          <v:shape id="_x0000_i1046" o:spt="75" type="#_x0000_t75" style="height:691pt;width:494.5pt;" o:ole="t" filled="f" o:preferrelative="t" stroked="f" coordsize="21600,21600">
            <v:path/>
            <v:fill on="f" focussize="0,0"/>
            <v:stroke on="f" joinstyle="miter"/>
            <v:imagedata r:id="rId51" o:title=""/>
            <o:lock v:ext="edit" aspectratio="t"/>
            <w10:wrap type="none"/>
            <w10:anchorlock/>
          </v:shape>
          <o:OLEObject Type="Embed" ProgID="Word.Document.8" ShapeID="_x0000_i1046" DrawAspect="Content" ObjectID="_1468075746" r:id="rId50">
            <o:LockedField>false</o:LockedField>
          </o:OLEObject>
        </w:object>
      </w:r>
    </w:p>
    <w:p>
      <w:pPr>
        <w:widowControl/>
        <w:tabs>
          <w:tab w:val="left" w:pos="2520"/>
        </w:tabs>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47" o:spt="75" type="#_x0000_t75" style="height:701.5pt;width:501.5pt;" o:ole="t" filled="f" o:preferrelative="t" stroked="f" coordsize="21600,21600">
            <v:path/>
            <v:fill on="f" focussize="0,0"/>
            <v:stroke on="f" joinstyle="miter"/>
            <v:imagedata r:id="rId53" o:title=""/>
            <o:lock v:ext="edit" aspectratio="t"/>
            <w10:wrap type="none"/>
            <w10:anchorlock/>
          </v:shape>
          <o:OLEObject Type="Embed" ProgID="Word.Document.8" ShapeID="_x0000_i1047" DrawAspect="Content" ObjectID="_1468075747" r:id="rId52">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drawing>
          <wp:inline distT="0" distB="0" distL="0" distR="0">
            <wp:extent cx="6047740" cy="3435350"/>
            <wp:effectExtent l="1905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4"/>
                    <a:srcRect/>
                    <a:stretch>
                      <a:fillRect/>
                    </a:stretch>
                  </pic:blipFill>
                  <pic:spPr>
                    <a:xfrm>
                      <a:off x="0" y="0"/>
                      <a:ext cx="6047740" cy="3435443"/>
                    </a:xfrm>
                    <a:prstGeom prst="rect">
                      <a:avLst/>
                    </a:prstGeom>
                    <a:noFill/>
                    <a:ln w="9525">
                      <a:noFill/>
                      <a:miter lim="800000"/>
                      <a:headEnd/>
                      <a:tailEnd/>
                    </a:ln>
                  </pic:spPr>
                </pic:pic>
              </a:graphicData>
            </a:graphic>
          </wp:inline>
        </w:drawing>
      </w:r>
      <w:r>
        <w:rPr>
          <w:rFonts w:asciiTheme="minorEastAsia" w:hAnsiTheme="minorEastAsia" w:cstheme="minorEastAsia"/>
          <w:color w:val="000000" w:themeColor="text1"/>
          <w:sz w:val="18"/>
          <w:szCs w:val="18"/>
        </w:rPr>
        <w:drawing>
          <wp:inline distT="0" distB="0" distL="0" distR="0">
            <wp:extent cx="6047740" cy="1217295"/>
            <wp:effectExtent l="1905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55"/>
                    <a:srcRect/>
                    <a:stretch>
                      <a:fillRect/>
                    </a:stretch>
                  </pic:blipFill>
                  <pic:spPr>
                    <a:xfrm>
                      <a:off x="0" y="0"/>
                      <a:ext cx="6047740" cy="1217734"/>
                    </a:xfrm>
                    <a:prstGeom prst="rect">
                      <a:avLst/>
                    </a:prstGeom>
                    <a:noFill/>
                    <a:ln w="9525">
                      <a:noFill/>
                      <a:miter lim="800000"/>
                      <a:headEnd/>
                      <a:tailEnd/>
                    </a:ln>
                  </pic:spPr>
                </pic:pic>
              </a:graphicData>
            </a:graphic>
          </wp:inline>
        </w:drawing>
      </w:r>
      <w:r>
        <w:rPr>
          <w:rFonts w:asciiTheme="minorEastAsia" w:hAnsiTheme="minorEastAsia" w:cstheme="minorEastAsia"/>
          <w:color w:val="000000" w:themeColor="text1"/>
          <w:sz w:val="18"/>
          <w:szCs w:val="18"/>
        </w:rPr>
        <w:br w:type="page"/>
      </w:r>
      <w:r>
        <w:rPr>
          <w:rFonts w:asciiTheme="minorEastAsia" w:hAnsiTheme="minorEastAsia" w:cstheme="minorEastAsia"/>
          <w:color w:val="000000" w:themeColor="text1"/>
          <w:sz w:val="18"/>
          <w:szCs w:val="18"/>
        </w:rPr>
        <w:object>
          <v:shape id="_x0000_i1048" o:spt="75" type="#_x0000_t75" style="height:691pt;width:494.5pt;" o:ole="t" filled="f" o:preferrelative="t" stroked="f" coordsize="21600,21600">
            <v:path/>
            <v:fill on="f" focussize="0,0"/>
            <v:stroke on="f" joinstyle="miter"/>
            <v:imagedata r:id="rId57" o:title=""/>
            <o:lock v:ext="edit" aspectratio="t"/>
            <w10:wrap type="none"/>
            <w10:anchorlock/>
          </v:shape>
          <o:OLEObject Type="Embed" ProgID="Word.Document.8" ShapeID="_x0000_i1048" DrawAspect="Content" ObjectID="_1468075748" r:id="rId56">
            <o:LockedField>false</o:LockedField>
          </o:OLEObject>
        </w:object>
      </w:r>
      <w:r>
        <w:rPr>
          <w:rFonts w:asciiTheme="minorEastAsia" w:hAnsiTheme="minorEastAsia" w:cstheme="minorEastAsia"/>
          <w:color w:val="000000" w:themeColor="text1"/>
          <w:sz w:val="18"/>
          <w:szCs w:val="18"/>
        </w:rPr>
        <w:br w:type="page"/>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49" o:spt="75" type="#_x0000_t75" style="height:686pt;width:494.5pt;" o:ole="t" filled="f" o:preferrelative="t" stroked="f" coordsize="21600,21600">
            <v:path/>
            <v:fill on="f" focussize="0,0"/>
            <v:stroke on="f" joinstyle="miter"/>
            <v:imagedata r:id="rId59" o:title=""/>
            <o:lock v:ext="edit" aspectratio="t"/>
            <w10:wrap type="none"/>
            <w10:anchorlock/>
          </v:shape>
          <o:OLEObject Type="Embed" ProgID="Word.Document.8" ShapeID="_x0000_i1049" DrawAspect="Content" ObjectID="_1468075749" r:id="rId58">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br w:type="page"/>
      </w:r>
    </w:p>
    <w:p>
      <w:pPr>
        <w:widowControl/>
        <w:tabs>
          <w:tab w:val="left" w:pos="2520"/>
        </w:tabs>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0" o:spt="75" type="#_x0000_t75" style="height:689.5pt;width:494.5pt;" o:ole="t" filled="f" o:preferrelative="t" stroked="f" coordsize="21600,21600">
            <v:path/>
            <v:fill on="f" focussize="0,0"/>
            <v:stroke on="f" joinstyle="miter"/>
            <v:imagedata r:id="rId61" o:title=""/>
            <o:lock v:ext="edit" aspectratio="t"/>
            <w10:wrap type="none"/>
            <w10:anchorlock/>
          </v:shape>
          <o:OLEObject Type="Embed" ProgID="Word.Document.8" ShapeID="_x0000_i1050" DrawAspect="Content" ObjectID="_1468075750" r:id="rId60">
            <o:LockedField>false</o:LockedField>
          </o:OLEObject>
        </w:object>
      </w:r>
    </w:p>
    <w:p>
      <w:pPr>
        <w:widowControl/>
        <w:tabs>
          <w:tab w:val="left" w:pos="2520"/>
        </w:tabs>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1" o:spt="75" type="#_x0000_t75" style="height:686.5pt;width:494.5pt;" o:ole="t" filled="f" o:preferrelative="t" stroked="f" coordsize="21600,21600">
            <v:path/>
            <v:fill on="f" focussize="0,0"/>
            <v:stroke on="f" joinstyle="miter"/>
            <v:imagedata r:id="rId63" o:title=""/>
            <o:lock v:ext="edit" aspectratio="t"/>
            <w10:wrap type="none"/>
            <w10:anchorlock/>
          </v:shape>
          <o:OLEObject Type="Embed" ProgID="Word.Document.8" ShapeID="_x0000_i1051" DrawAspect="Content" ObjectID="_1468075751" r:id="rId62">
            <o:LockedField>false</o:LockedField>
          </o:OLEObject>
        </w:object>
      </w:r>
      <w:r>
        <w:rPr>
          <w:rFonts w:asciiTheme="minorEastAsia" w:hAnsiTheme="minorEastAsia" w:cstheme="minorEastAsia"/>
          <w:color w:val="000000" w:themeColor="text1"/>
          <w:sz w:val="18"/>
          <w:szCs w:val="18"/>
        </w:rPr>
        <w:br w:type="page"/>
      </w:r>
    </w:p>
    <w:p>
      <w:pPr>
        <w:widowControl/>
        <w:tabs>
          <w:tab w:val="left" w:pos="2520"/>
        </w:tabs>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2" o:spt="75" type="#_x0000_t75" style="height:684.5pt;width:494.5pt;" o:ole="t" filled="f" o:preferrelative="t" stroked="f" coordsize="21600,21600">
            <v:path/>
            <v:fill on="f" focussize="0,0"/>
            <v:stroke on="f" joinstyle="miter"/>
            <v:imagedata r:id="rId65" o:title=""/>
            <o:lock v:ext="edit" aspectratio="t"/>
            <w10:wrap type="none"/>
            <w10:anchorlock/>
          </v:shape>
          <o:OLEObject Type="Embed" ProgID="Word.Document.8" ShapeID="_x0000_i1052" DrawAspect="Content" ObjectID="_1468075752" r:id="rId64">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3" o:spt="75" type="#_x0000_t75" style="height:685.5pt;width:494.5pt;" o:ole="t" filled="f" o:preferrelative="t" stroked="f" coordsize="21600,21600">
            <v:path/>
            <v:fill on="f" focussize="0,0"/>
            <v:stroke on="f" joinstyle="miter"/>
            <v:imagedata r:id="rId67" o:title=""/>
            <o:lock v:ext="edit" aspectratio="t"/>
            <w10:wrap type="none"/>
            <w10:anchorlock/>
          </v:shape>
          <o:OLEObject Type="Embed" ProgID="Word.Document.8" ShapeID="_x0000_i1053" DrawAspect="Content" ObjectID="_1468075753" r:id="rId66">
            <o:LockedField>false</o:LockedField>
          </o:OLEObject>
        </w:object>
      </w:r>
      <w:r>
        <w:rPr>
          <w:rFonts w:asciiTheme="minorEastAsia" w:hAnsiTheme="minorEastAsia" w:cstheme="minorEastAsia"/>
          <w:color w:val="000000" w:themeColor="text1"/>
          <w:sz w:val="18"/>
          <w:szCs w:val="18"/>
        </w:rPr>
        <w:object>
          <v:shape id="_x0000_i1054" o:spt="75" type="#_x0000_t75" style="height:685.5pt;width:494.5pt;" o:ole="t" filled="f" o:preferrelative="t" stroked="f" coordsize="21600,21600">
            <v:path/>
            <v:fill on="f" focussize="0,0"/>
            <v:stroke on="f" joinstyle="miter"/>
            <v:imagedata r:id="rId69" o:title=""/>
            <o:lock v:ext="edit" aspectratio="t"/>
            <w10:wrap type="none"/>
            <w10:anchorlock/>
          </v:shape>
          <o:OLEObject Type="Embed" ProgID="Word.Document.8" ShapeID="_x0000_i1054" DrawAspect="Content" ObjectID="_1468075754" r:id="rId68">
            <o:LockedField>false</o:LockedField>
          </o:OLEObject>
        </w:object>
      </w:r>
      <w:r>
        <w:rPr>
          <w:rFonts w:asciiTheme="minorEastAsia" w:hAnsiTheme="minorEastAsia" w:cstheme="minorEastAsia"/>
          <w:color w:val="000000" w:themeColor="text1"/>
          <w:sz w:val="18"/>
          <w:szCs w:val="18"/>
        </w:rPr>
        <w:object>
          <v:shape id="_x0000_i1055" o:spt="75" type="#_x0000_t75" style="height:687pt;width:494pt;" o:ole="t" filled="f" o:preferrelative="t" stroked="f" coordsize="21600,21600">
            <v:path/>
            <v:fill on="f" focussize="0,0"/>
            <v:stroke on="f" joinstyle="miter"/>
            <v:imagedata r:id="rId71" o:title=""/>
            <o:lock v:ext="edit" aspectratio="t"/>
            <w10:wrap type="none"/>
            <w10:anchorlock/>
          </v:shape>
          <o:OLEObject Type="Embed" ProgID="Word.Document.8" ShapeID="_x0000_i1055" DrawAspect="Content" ObjectID="_1468075755" r:id="rId70">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6" o:spt="75" type="#_x0000_t75" style="height:687.5pt;width:494.5pt;" o:ole="t" filled="f" o:preferrelative="t" stroked="f" coordsize="21600,21600">
            <v:path/>
            <v:fill on="f" focussize="0,0"/>
            <v:stroke on="f" joinstyle="miter"/>
            <v:imagedata r:id="rId73" o:title=""/>
            <o:lock v:ext="edit" aspectratio="t"/>
            <w10:wrap type="none"/>
            <w10:anchorlock/>
          </v:shape>
          <o:OLEObject Type="Embed" ProgID="Word.Document.8" ShapeID="_x0000_i1056" DrawAspect="Content" ObjectID="_1468075756" r:id="rId72">
            <o:LockedField>false</o:LockedField>
          </o:OLEObject>
        </w:object>
      </w:r>
      <w:r>
        <w:rPr>
          <w:rFonts w:asciiTheme="minorEastAsia" w:hAnsiTheme="minorEastAsia" w:cstheme="minorEastAsia"/>
          <w:color w:val="000000" w:themeColor="text1"/>
          <w:sz w:val="18"/>
          <w:szCs w:val="18"/>
        </w:rPr>
        <w:br w:type="page"/>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7" o:spt="75" type="#_x0000_t75" style="height:681.5pt;width:494.5pt;" o:ole="t" filled="f" o:preferrelative="t" stroked="f" coordsize="21600,21600">
            <v:path/>
            <v:fill on="f" focussize="0,0"/>
            <v:stroke on="f" joinstyle="miter"/>
            <v:imagedata r:id="rId75" o:title=""/>
            <o:lock v:ext="edit" aspectratio="t"/>
            <w10:wrap type="none"/>
            <w10:anchorlock/>
          </v:shape>
          <o:OLEObject Type="Embed" ProgID="Word.Document.8" ShapeID="_x0000_i1057" DrawAspect="Content" ObjectID="_1468075757" r:id="rId74">
            <o:LockedField>false</o:LockedField>
          </o:OLEObject>
        </w:object>
      </w:r>
    </w:p>
    <w:p>
      <w:pPr>
        <w:widowControl/>
        <w:jc w:val="left"/>
        <w:rPr>
          <w:rFonts w:asciiTheme="minorEastAsia" w:hAnsiTheme="minorEastAsia" w:cstheme="minorEastAsia"/>
          <w:color w:val="000000" w:themeColor="text1"/>
          <w:sz w:val="18"/>
          <w:szCs w:val="18"/>
        </w:rPr>
      </w:pPr>
      <w:r>
        <w:rPr>
          <w:rFonts w:asciiTheme="minorEastAsia" w:hAnsiTheme="minorEastAsia" w:cstheme="minorEastAsia"/>
          <w:color w:val="000000" w:themeColor="text1"/>
          <w:sz w:val="18"/>
          <w:szCs w:val="18"/>
        </w:rPr>
        <w:object>
          <v:shape id="_x0000_i1058" o:spt="75" type="#_x0000_t75" style="height:689.5pt;width:494.5pt;" o:ole="t" filled="f" o:preferrelative="t" stroked="f" coordsize="21600,21600">
            <v:path/>
            <v:fill on="f" focussize="0,0"/>
            <v:stroke on="f" joinstyle="miter"/>
            <v:imagedata r:id="rId77" o:title=""/>
            <o:lock v:ext="edit" aspectratio="t"/>
            <w10:wrap type="none"/>
            <w10:anchorlock/>
          </v:shape>
          <o:OLEObject Type="Embed" ProgID="Word.Document.8" ShapeID="_x0000_i1058" DrawAspect="Content" ObjectID="_1468075758" r:id="rId76">
            <o:LockedField>false</o:LockedField>
          </o:OLEObject>
        </w:object>
      </w:r>
    </w:p>
    <w:p>
      <w:pPr>
        <w:widowControl/>
        <w:jc w:val="left"/>
        <w:rPr>
          <w:rFonts w:asciiTheme="minorEastAsia" w:hAnsiTheme="minorEastAsia" w:cstheme="minorEastAsia"/>
          <w:color w:val="000000" w:themeColor="text1"/>
          <w:sz w:val="18"/>
          <w:szCs w:val="18"/>
        </w:rPr>
      </w:pPr>
    </w:p>
    <w:p>
      <w:pPr>
        <w:widowControl/>
        <w:jc w:val="left"/>
        <w:rPr>
          <w:rFonts w:asciiTheme="minorEastAsia" w:hAnsiTheme="minorEastAsia" w:cstheme="minorEastAsia"/>
          <w:color w:val="000000" w:themeColor="text1"/>
          <w:sz w:val="18"/>
          <w:szCs w:val="18"/>
        </w:rPr>
      </w:pPr>
    </w:p>
    <w:p>
      <w:pPr>
        <w:spacing w:line="360" w:lineRule="auto"/>
        <w:ind w:firstLine="2880" w:firstLineChars="900"/>
        <w:rPr>
          <w:b/>
          <w:color w:val="000000" w:themeColor="text1"/>
          <w:sz w:val="32"/>
          <w:szCs w:val="32"/>
        </w:rPr>
      </w:pPr>
      <w:r>
        <w:rPr>
          <w:rFonts w:hint="eastAsia"/>
          <w:b/>
          <w:color w:val="000000" w:themeColor="text1"/>
          <w:sz w:val="32"/>
          <w:szCs w:val="32"/>
        </w:rPr>
        <w:t>附录4.教学管理制度文件</w:t>
      </w:r>
    </w:p>
    <w:tbl>
      <w:tblPr>
        <w:tblStyle w:val="30"/>
        <w:tblW w:w="9746" w:type="dxa"/>
        <w:jc w:val="center"/>
        <w:tblCellSpacing w:w="0" w:type="dxa"/>
        <w:tblInd w:w="300" w:type="dxa"/>
        <w:tblLayout w:type="fixed"/>
        <w:tblCellMar>
          <w:top w:w="0" w:type="dxa"/>
          <w:left w:w="0" w:type="dxa"/>
          <w:bottom w:w="0" w:type="dxa"/>
          <w:right w:w="0" w:type="dxa"/>
        </w:tblCellMar>
      </w:tblPr>
      <w:tblGrid>
        <w:gridCol w:w="9746"/>
      </w:tblGrid>
      <w:tr>
        <w:tblPrEx>
          <w:tblLayout w:type="fixed"/>
          <w:tblCellMar>
            <w:top w:w="0" w:type="dxa"/>
            <w:left w:w="0" w:type="dxa"/>
            <w:bottom w:w="0" w:type="dxa"/>
            <w:right w:w="0" w:type="dxa"/>
          </w:tblCellMar>
        </w:tblPrEx>
        <w:trPr>
          <w:trHeight w:val="4200" w:hRule="atLeast"/>
          <w:tblCellSpacing w:w="0" w:type="dxa"/>
          <w:jc w:val="center"/>
        </w:trPr>
        <w:tc>
          <w:tcPr>
            <w:tcW w:w="9746" w:type="dxa"/>
            <w:tcMar>
              <w:top w:w="300" w:type="dxa"/>
              <w:left w:w="300" w:type="dxa"/>
              <w:bottom w:w="150" w:type="dxa"/>
              <w:right w:w="300" w:type="dxa"/>
            </w:tcMar>
          </w:tcPr>
          <w:p>
            <w:pPr>
              <w:spacing w:line="600" w:lineRule="exact"/>
              <w:jc w:val="center"/>
              <w:rPr>
                <w:rFonts w:ascii="方正小标宋简体" w:hAnsi="宋体" w:eastAsia="方正小标宋简体" w:cs="方正小标宋简体"/>
                <w:b/>
                <w:color w:val="000000" w:themeColor="text1"/>
                <w:sz w:val="30"/>
                <w:szCs w:val="30"/>
              </w:rPr>
            </w:pPr>
            <w:r>
              <w:rPr>
                <w:rFonts w:ascii="宋体" w:hAnsi="宋体" w:eastAsia="宋体" w:cs="宋体"/>
                <w:color w:val="000000" w:themeColor="text1"/>
                <w:sz w:val="24"/>
                <w:szCs w:val="24"/>
              </w:rPr>
              <w:t> </w:t>
            </w:r>
            <w:r>
              <w:rPr>
                <w:rFonts w:hint="eastAsia" w:ascii="方正小标宋简体" w:hAnsi="宋体" w:eastAsia="方正小标宋简体" w:cs="方正小标宋简体"/>
                <w:b/>
                <w:color w:val="000000" w:themeColor="text1"/>
                <w:sz w:val="30"/>
                <w:szCs w:val="30"/>
              </w:rPr>
              <w:t>浙江科技学院关于制订硕士研究生培养方案的指导意见</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为建立我校硕士研究生教育培养制度，提高研究生的培养质量，以适应当前经济、科技、教育和社会发展对各类高层次专门人才的需求，特制订硕士研究生培养方案的指导意见：</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一、制订培养方案的主要依据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1．《中华人民共和国学位条例》；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2．《中华人民共和国学位条例暂行实施办法》；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3．《国家中长期教育改革和发展规划纲要（2010-2020年）》；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4．中共中央宣传部、教育部《关于高等学校研究生思想政治理论课课程设置调整的意见》（教社科〔2010〕2号）；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5．国务院学位委员会、教育部印发《学位授予和人才培养学科目录（2011年）》（学位〔2011〕11号）；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6．教育部《关于加强和改进研究生培养工作的几点意见》（教研〔2000〕1号）。</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二、制订培养方案的基本原则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适应21世纪科学技术发展、国民经济建设及国家战略性新兴产业对高层次应用型人才所需具备的知识结构、能力结构和综合素质的要求，科学制订研究生培养方案，保证我校研究生的培养质量和效益，凸显国际合作和应用研究特色，为国家和社会培养一批具有创新能力、实践能力、国际素养及科学人文素质兼备的高素质应用型人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培养方案是学校进行研究生培养的主要依据，包括培养目标、研究方向、学习年限、课程设置与学分要求、培养方式、培养过程实施（培养计划、学位论文工作等）内容。培养方案应具有可操作性，便于考核、核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培养方案的制订原则是：过程管理与目标管理相结合，更加注重过程管理；特色与水平相结合，更加注重质量提升；知识与能力相结合，更加注重研究生科研创新能力和实践应用能力的培养。</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三、制订培养方案的基本要求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1．培养方案按一级学科制订，从人才培养和科学研究的角度，体现本学科的特征、应有的知识结构，强调国际合作与产学研用相结合的优势和特色。</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各学科在课程体系和课程设置方面要注重基础性、宽广性和实用性，并注意课程体系的优化、课程内容的合理性和功能的整体性；反映本学科发展的前沿和交叉学科、新兴学科的发展方向；并根据学科发展和社会需求的变化及时进行相应的调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3．列入培养方案中的课程要求编写教学大纲。教学大纲的编写规范另行制订。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4.各学科要在校院两级组织的领导下，优质、高效、有序地开展培养方案制订工作。培养方案须经二级学院学术委员会和学位评定分委员会讨论通过，经二级学院分管领导签署意见后，报学校研究生管理部门审核、备案后实施，方案原则上每3年进行一次修订。 </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四、制订培养方案的主要内容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（一）培养目标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培养目标应根据国家对学术型硕士学位获得者的基本要求，结合不同学科的研究生培养方式及本学科的特色和优势，阐明对本学科学术型硕士学位获得者在应用基础理论和专业知识方面应达到的广度和深度，科学研究能力、工程实践能力和独立承担专门技术工作的能力，以及政治思想、道德品质、外国语及身心健康等方面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（二）研究方向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各学科要凝练4至6个相对稳定的研究方向，研究方向的设置应面向国家经济建设、战略性新兴产业发展和科学技术进步的需要，具有战略性、先进性和前瞻性，提倡跨学科之间相互渗透与交叉融合，并能体现该学科的特色和优势。</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（三）基本学制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全日制攻读硕士学位的基本学制一般为2.5～3年；非全日制攻读硕士学位的基本学制一般为3年。其中课程学习1～1.5年，学位论文研究1.5年。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（四）课程设置与学分要求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硕士研究生课程由学位课、非学位课和必修环节三部分组成，实行学分制，总学分不少于32学分，其中学位课不少于19学分。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学位课：学位课为必修课，分公共类学位课和学科类学位课。公共类学位课：中国特色社会主义理论与实践研究（2学分，36学时）；自然辩证法概论/马克思主义与社会科学方法论（二选一、1学分，18学时）；第一外国语（1学分，32学时），第一外国语听说（1学分，48学时）；数学类公共课1门（2学分，48学时，工科类必选）。学科类学位课包括专业基础课或专业课，要求不少于12学分，具体课程由各学科自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非学位课：分公共选修课和学科选修课。根据学科培养要求和研究生本人情况，在导师指导下选学。学科选修课包括学科平台选修课和学科方向选修课，要求选修不少于6学分，具体课程由各学科自定。鼓励研究生适当选修跨学科跨专业的课程，并要求研究生至少选修一门跨一级学科的课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必修环节：必修环节包括：实践实习（1学分）：以教学实践和企业实习为主，累计时间不少于6周；文献综述与开题报告（1学分）：一般应在第三学期内完成开题报告；学术报告（1学分）：在学期间，必须参加不少于5次校内外公开举办的学术活动(含各种学科竞赛和设计展览等)，其中主讲学术报告至少1次，并提交报告的书面材料。各学位点须制定必修环节考核办法并组织实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（五）培养方式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1.硕士研究生培养以课程学习和科学研究、新技术开发及相应的学位论文工作为主要方式，培养学生独立担负专门技术工作的能力，掌握正确的科学研究方法等。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2.硕士研究生培养采取导师负责制。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3.提倡和鼓励相关学科之间交叉和适当的跨学科联合指导，利用多学科资源，拓宽硕士研究生的学术思想和工作视野。</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4.鼓励开展国内外的校际联合培养。</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5.强化以研究生为主体的教学方式。要重视和促进研究生个性的健康发展。充分发挥研究生的主动性和自觉性，更多地采用启发式、研讨式、参与式教学方式。研究生应更多地参与学术讨论、学术报告等活动。 </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6.硕士研究生培养可采取全日制和非全日制两种培养方式。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7.硕士研究生课程所采用的专业教材，应尽量反映本领域国内外的先进水平和发展趋势。</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（六）培养过程实施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1.个人培养计划制订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研究生入学后一个月内，在导师的指导下根据本学科培养方案和研究生本人的具体情况确定研究方向与制订个人培养计划，经学位点和研究生管理部门审定后实施。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学位论文阶段前的中期检查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二级学院对研究生在进入研究生学位论文阶段前进行德、智、体全面考核，其中业务方面的考核是对研究生个人培养计划的课程学习情况等方面进行检查。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3.学位论文开题报告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应系统地查阅国内外有关文献，了解国内外科技动态，并对收集的资料作出分析和评述，指出需要解决的问题和方法，在导师指导下提出论文工作计划，并做开题报告，就论文研究的可行性广泛听取专家意见。在第三学期结束前，学位点组织完成研究生开题报告答辩会并进行开题考核。</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4.学位论文中期检查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中期检查工作在研究生入学后的第四学期进行。学位点成立3～5人的硕士学位论文中期检查小组，学位点负责人任组长，负责开展硕士学位论文中期检查答辩会。检查内容包括学位论文的进展、学生的政治思想品德、学习与工作态度、存在问题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5.学位论文撰写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学位论文的撰写必须在导师的指导下由研究生本人独立完成，并严格遵守学术规范。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中的科学论点要概念清楚、论据充分；所选用的研究方法要有科学根据，理论推导正确，计算结果无误，实验数据真实可靠，分析严谨；结论应作理论上的阐述，引用他人的材料要引证原著。论文应有创新性成果。论文要求语句精练通顺、条理分明、逻辑性强、文字图表清晰整齐。凡需保密的论文应注明密级。</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学位论文格式参见学校关于研究生学位论文格式的统一要求。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6.研究成果要求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攻读硕士学位期间，研究生至少须作为第一或第二作者（第一作者为导师）并以浙江科技学院为第一单位在国内外正式出版的核心刊物上发表(含录用)与其研究方向关联的专业学术论文1篇以上；或作为第一或第二发明人（第一发明人为导师）并以浙江科技学院为第一专利权人单位，获授权的与其学科关联的发明专利1项以上。各学位点根据学科实际自定具体标准，但不得低于学校最低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7.论文评阅、答辩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按照学校研究生学位论文评阅及答辩工作的相关规定执行。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8.学位授予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按照学校学校硕士学位授予工作相关规定执行。</w:t>
            </w: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                             浙江科技学院</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2012年1月4日</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br w:type="page"/>
            </w:r>
          </w:p>
          <w:p>
            <w:pPr>
              <w:spacing w:line="600" w:lineRule="exact"/>
              <w:jc w:val="center"/>
              <w:rPr>
                <w:rFonts w:ascii="宋体" w:hAnsi="宋体" w:eastAsia="宋体" w:cs="宋体"/>
                <w:color w:val="000000" w:themeColor="text1"/>
                <w:sz w:val="24"/>
                <w:szCs w:val="24"/>
              </w:rPr>
            </w:pPr>
          </w:p>
          <w:p>
            <w:pPr>
              <w:spacing w:line="600" w:lineRule="exact"/>
              <w:jc w:val="center"/>
              <w:rPr>
                <w:rFonts w:ascii="宋体" w:hAnsi="宋体" w:eastAsia="宋体" w:cs="宋体"/>
                <w:color w:val="000000" w:themeColor="text1"/>
                <w:sz w:val="24"/>
                <w:szCs w:val="24"/>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p>
          <w:p>
            <w:pPr>
              <w:spacing w:line="600" w:lineRule="exact"/>
              <w:jc w:val="center"/>
              <w:rPr>
                <w:rFonts w:ascii="方正小标宋简体" w:hAnsi="黑体" w:eastAsia="方正小标宋简体" w:cs="黑体"/>
                <w:b/>
                <w:bCs/>
                <w:color w:val="000000" w:themeColor="text1"/>
                <w:sz w:val="30"/>
                <w:szCs w:val="30"/>
              </w:rPr>
            </w:pPr>
            <w:r>
              <w:rPr>
                <w:rFonts w:hint="eastAsia" w:ascii="方正小标宋简体" w:hAnsi="黑体" w:eastAsia="方正小标宋简体" w:cs="黑体"/>
                <w:b/>
                <w:bCs/>
                <w:color w:val="000000" w:themeColor="text1"/>
                <w:sz w:val="30"/>
                <w:szCs w:val="30"/>
              </w:rPr>
              <w:t>浙江科技学院</w:t>
            </w:r>
          </w:p>
          <w:p>
            <w:pPr>
              <w:spacing w:line="600" w:lineRule="exact"/>
              <w:jc w:val="center"/>
              <w:rPr>
                <w:rFonts w:ascii="方正小标宋简体" w:hAnsi="黑体" w:eastAsia="方正小标宋简体" w:cs="黑体"/>
                <w:b/>
                <w:bCs/>
                <w:color w:val="000000" w:themeColor="text1"/>
                <w:sz w:val="30"/>
                <w:szCs w:val="30"/>
              </w:rPr>
            </w:pPr>
            <w:r>
              <w:rPr>
                <w:rFonts w:hint="eastAsia" w:ascii="方正小标宋简体" w:hAnsi="黑体" w:eastAsia="方正小标宋简体" w:cs="黑体"/>
                <w:b/>
                <w:bCs/>
                <w:color w:val="000000" w:themeColor="text1"/>
                <w:sz w:val="30"/>
                <w:szCs w:val="30"/>
              </w:rPr>
              <w:t>关于制订硕士研究生课程教学大纲的指导意见</w:t>
            </w:r>
          </w:p>
          <w:p>
            <w:pPr>
              <w:spacing w:line="200" w:lineRule="exact"/>
              <w:jc w:val="center"/>
              <w:rPr>
                <w:rFonts w:ascii="方正小标宋简体" w:hAnsi="黑体" w:eastAsia="方正小标宋简体" w:cs="黑体"/>
                <w:b/>
                <w:bCs/>
                <w:color w:val="000000" w:themeColor="text1"/>
                <w:sz w:val="32"/>
                <w:szCs w:val="32"/>
              </w:rPr>
            </w:pP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教学大纲是与学科方向培养配套的指导性文件，它以纲要的形式规定了课程的基本内容、性质、任务及该课程内容的深度与广度，教学大纲是教师组织教学和选用教材的直接依据，是检查和评定学生学业成绩和衡量教师教学质量的重要标准，也是国家监督、评估学校教学质量，配置师资力量和教学设施的重要依据。为了加强硕士研究生教学大纲的规范性建设，保证培养目标与培养过程的统一，现就制订硕士研究生课程教学大纲提出以下指导意见。</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color w:val="000000" w:themeColor="text1"/>
                <w:sz w:val="24"/>
                <w:szCs w:val="24"/>
              </w:rPr>
              <w:t>一、</w:t>
            </w:r>
            <w:r>
              <w:rPr>
                <w:rFonts w:hint="eastAsia" w:ascii="仿宋_GB2312" w:hAnsi="楷体_GB2312" w:eastAsia="仿宋_GB2312" w:cs="楷体_GB2312"/>
                <w:b/>
                <w:color w:val="000000" w:themeColor="text1"/>
                <w:sz w:val="24"/>
                <w:szCs w:val="24"/>
              </w:rPr>
              <w:t>硕士研究生课程教学大纲制订原则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教学大纲应符合培养方案的要求，体现本学科人才培养目标和特点，明确本课程在整个课程体系中的地位和作用。要注意各课程内容的衔接，有效地进行课程整合，避免彼此间的内容重复，达到课程体系的整体优化。</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教学目的、要求以及教学内容要严格区分硕士课程与本科课程。要注重硕士研究生课程的前沿性、研究性，使硕士研究生不仅掌握本课程的基础理论，而且要了解本课程所涉及内容的国内外最新发展动态。要注重对学生科学研究能力的培养。</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应注重培养硕士研究生主动获取知识的能力，针对硕士研究生培养的特点，教师可采取课堂讲授、讨论式、启发式等形式进行教学改革。要保证课堂讲授的学时，非课堂讲授的内容要做出具体安排，包括内容、形式、学时等。</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4.课程考核方式：分考试和考查两种。学位课应进行考试，非学位课可以为考查方式。考试以百分制计分，平时成绩应占一定的比例。考核办法可采取闭卷考试、开卷考试、研究报告、实验等形式。</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5.鼓励精简课时，每门课程总学时一般控制在32学时。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6.教学大纲应按照规定的格式编写，格式详见附件1。</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b/>
                <w:color w:val="000000" w:themeColor="text1"/>
                <w:sz w:val="24"/>
                <w:szCs w:val="24"/>
              </w:rPr>
              <w:t>二、教学大纲的制订范围</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硕士研究生培养方案中所涉及的课程，都要制订课程教学大纲。</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b/>
                <w:color w:val="000000" w:themeColor="text1"/>
                <w:sz w:val="24"/>
                <w:szCs w:val="24"/>
              </w:rPr>
              <w:t>三、教学大纲编写人员要求</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1.学位课</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分学科类学位课和公共类学位课。学科类学位课的课程负责人必须由副高以上职称或具有博士学位的教师担任,其人选由本学科学位委员会决定;公共类学位课的课程负责人一般由副高以上职称或具有博士学位的教师担任,其人选由开课二级学院决定; 课程教学大纲由课程负责人主持编写。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2.非学位课</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分公共选修课和学科选修课。公共选修课的课程负责人一般由副高以上职称或具有博士学位的教师担任,其人选由开课二级学院决定;学科选修课的课程负责人一般由副高以上职称或具有博士学位的教师担任,其人选由本学科学位委员会决定; 课程教学大纲由课程负责人主持编写。</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b/>
                <w:color w:val="000000" w:themeColor="text1"/>
                <w:sz w:val="24"/>
                <w:szCs w:val="24"/>
              </w:rPr>
              <w:t>四、教学大纲的编写内容</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1.中英文课程名称</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2.课程代码</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3.课程类型</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4.开课时间、学时/学分（其中理论与实验课的学时分别注明）</w:t>
            </w:r>
          </w:p>
          <w:p>
            <w:pPr>
              <w:spacing w:line="520" w:lineRule="exact"/>
              <w:ind w:firstLine="480" w:firstLineChars="200"/>
              <w:rPr>
                <w:rFonts w:hint="eastAsia"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5.先修课程</w:t>
            </w:r>
          </w:p>
          <w:p>
            <w:pPr>
              <w:spacing w:line="520" w:lineRule="exact"/>
              <w:ind w:firstLine="480" w:firstLineChars="200"/>
              <w:rPr>
                <w:rFonts w:hint="eastAsia"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6.开课单位：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7.面向学科</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8.课程的性质、目的和任务</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9.教学内容及教学基本要求</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公共课、学科类学位课、学科选修课程：理论课程授课内容原则上不得与本科课程内容重复，并避免与其他相关学科的课程内容的重复。理论课程部分应包括本学科或相关学科的前沿进展内容，前沿进展内容应占理论课学时的10%，并且在每1～2年对前沿进展的内容进行适时的调整。</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10.课程教学学时分配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11.课程考核方式及要求</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12.教材及教学参考资料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教学大纲要求文字简练、明确、意思完整，一律用A4纸打印。具体格式要求详见“硕士研究生课程教学大纲编写格式要求”。</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b/>
                <w:color w:val="000000" w:themeColor="text1"/>
                <w:sz w:val="24"/>
                <w:szCs w:val="24"/>
              </w:rPr>
              <w:t>五、课程教学大纲审核程序及办法</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1.二级学院（学科）应对学科类学位课和学科选修课的教学</w:t>
            </w:r>
            <w:r>
              <w:rPr>
                <w:rFonts w:hint="eastAsia" w:ascii="仿宋_GB2312" w:hAnsi="楷体_GB2312" w:eastAsia="仿宋_GB2312" w:cs="楷体_GB2312"/>
                <w:color w:val="000000" w:themeColor="text1"/>
                <w:spacing w:val="2"/>
                <w:sz w:val="24"/>
                <w:szCs w:val="24"/>
              </w:rPr>
              <w:t>大纲进行格式的形式审查，并组织相应专家对其教学大纲的内容进行审核,教学大纲最终</w:t>
            </w:r>
            <w:r>
              <w:rPr>
                <w:rFonts w:hint="eastAsia" w:ascii="仿宋_GB2312" w:hAnsi="楷体_GB2312" w:eastAsia="仿宋_GB2312" w:cs="楷体_GB2312"/>
                <w:color w:val="000000" w:themeColor="text1"/>
                <w:sz w:val="24"/>
                <w:szCs w:val="24"/>
              </w:rPr>
              <w:t>经本学科学位委员会讨论通过。开课二级学院应对公共类学位课和公共选修课的教学</w:t>
            </w:r>
            <w:r>
              <w:rPr>
                <w:rFonts w:hint="eastAsia" w:ascii="仿宋_GB2312" w:hAnsi="楷体_GB2312" w:eastAsia="仿宋_GB2312" w:cs="楷体_GB2312"/>
                <w:color w:val="000000" w:themeColor="text1"/>
                <w:spacing w:val="2"/>
                <w:sz w:val="24"/>
                <w:szCs w:val="24"/>
              </w:rPr>
              <w:t>大纲进行格式的形式审查，并组织相应专家对其教学大纲的内容进行审核</w:t>
            </w:r>
            <w:r>
              <w:rPr>
                <w:rFonts w:hint="eastAsia" w:ascii="仿宋_GB2312" w:hAnsi="楷体_GB2312" w:eastAsia="仿宋_GB2312" w:cs="楷体_GB2312"/>
                <w:color w:val="000000" w:themeColor="text1"/>
                <w:sz w:val="24"/>
                <w:szCs w:val="24"/>
              </w:rPr>
              <w:t>。</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全部课程教学大纲审核合格后，由学位点所在二级学院分别汇总，填写“研究生课程教学大纲审核表”（附件2），按“硕士研究生课程教学大纲编写格式要求”编辑打印成稿（含电子版，文件名：***课程教学大纲.doc），一并上交学校研究生处备案。</w:t>
            </w:r>
          </w:p>
          <w:p>
            <w:pPr>
              <w:spacing w:line="520" w:lineRule="exact"/>
              <w:ind w:firstLine="480" w:firstLineChars="200"/>
              <w:rPr>
                <w:rFonts w:ascii="仿宋_GB2312" w:hAnsi="楷体_GB2312" w:eastAsia="仿宋_GB2312" w:cs="楷体_GB2312"/>
                <w:b/>
                <w:color w:val="000000" w:themeColor="text1"/>
                <w:sz w:val="24"/>
                <w:szCs w:val="24"/>
              </w:rPr>
            </w:pPr>
            <w:r>
              <w:rPr>
                <w:rFonts w:hint="eastAsia" w:ascii="仿宋_GB2312" w:hAnsi="楷体_GB2312" w:eastAsia="仿宋_GB2312" w:cs="楷体_GB2312"/>
                <w:b/>
                <w:color w:val="000000" w:themeColor="text1"/>
                <w:sz w:val="24"/>
                <w:szCs w:val="24"/>
              </w:rPr>
              <w:t>六、其他</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1.硕士研究生课程教学大纲一经通过，教师个人不得自行删减教学内容。</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2.没有教学大纲的课程，不得列入“浙江科技学院学硕士研究生课程教学计划”中。</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3.本办法自发文之日起实行，解释权归学校研究生处。</w:t>
            </w:r>
          </w:p>
          <w:p>
            <w:pPr>
              <w:rPr>
                <w:color w:val="000000" w:themeColor="text1"/>
              </w:rPr>
            </w:pPr>
            <w:r>
              <w:rPr>
                <w:rFonts w:hint="eastAsia" w:ascii="仿宋_GB2312" w:hAnsi="楷体_GB2312" w:eastAsia="仿宋_GB2312" w:cs="楷体_GB2312"/>
                <w:color w:val="000000" w:themeColor="text1"/>
                <w:sz w:val="24"/>
                <w:szCs w:val="24"/>
              </w:rPr>
              <w:br w:type="page"/>
            </w:r>
          </w:p>
          <w:p>
            <w:pPr>
              <w:spacing w:before="312" w:after="100" w:afterAutospacing="1" w:line="432" w:lineRule="auto"/>
              <w:jc w:val="center"/>
              <w:rPr>
                <w:rFonts w:hint="eastAsia" w:ascii="方正小标宋简体" w:hAnsi="方正小标宋简体" w:eastAsia="方正小标宋简体" w:cs="方正小标宋简体"/>
                <w:b/>
                <w:color w:val="000000" w:themeColor="text1"/>
                <w:sz w:val="30"/>
                <w:szCs w:val="30"/>
              </w:rPr>
            </w:pPr>
          </w:p>
          <w:p>
            <w:pPr>
              <w:spacing w:before="312" w:after="100" w:afterAutospacing="1" w:line="432" w:lineRule="auto"/>
              <w:jc w:val="center"/>
              <w:rPr>
                <w:rFonts w:hint="eastAsia" w:ascii="方正小标宋简体" w:hAnsi="方正小标宋简体" w:eastAsia="方正小标宋简体" w:cs="方正小标宋简体"/>
                <w:b/>
                <w:color w:val="000000" w:themeColor="text1"/>
                <w:sz w:val="30"/>
                <w:szCs w:val="30"/>
              </w:rPr>
            </w:pPr>
          </w:p>
          <w:p>
            <w:pPr>
              <w:spacing w:before="312" w:after="100" w:afterAutospacing="1" w:line="432" w:lineRule="auto"/>
              <w:jc w:val="center"/>
              <w:rPr>
                <w:rFonts w:hint="eastAsia" w:ascii="方正小标宋简体" w:hAnsi="方正小标宋简体" w:eastAsia="方正小标宋简体" w:cs="方正小标宋简体"/>
                <w:b/>
                <w:color w:val="000000" w:themeColor="text1"/>
                <w:sz w:val="30"/>
                <w:szCs w:val="30"/>
              </w:rPr>
            </w:pPr>
          </w:p>
          <w:p>
            <w:pPr>
              <w:spacing w:before="312" w:after="100" w:afterAutospacing="1" w:line="432" w:lineRule="auto"/>
              <w:jc w:val="center"/>
              <w:rPr>
                <w:rFonts w:ascii="方正小标宋简体" w:hAnsi="方正小标宋简体" w:eastAsia="方正小标宋简体" w:cs="方正小标宋简体"/>
                <w:b/>
                <w:color w:val="000000" w:themeColor="text1"/>
                <w:sz w:val="30"/>
                <w:szCs w:val="30"/>
              </w:rPr>
            </w:pPr>
            <w:r>
              <w:rPr>
                <w:rFonts w:hint="eastAsia" w:ascii="方正小标宋简体" w:hAnsi="方正小标宋简体" w:eastAsia="方正小标宋简体" w:cs="方正小标宋简体"/>
                <w:b/>
                <w:color w:val="000000" w:themeColor="text1"/>
                <w:sz w:val="30"/>
                <w:szCs w:val="30"/>
              </w:rPr>
              <w:t>浙江科技学院研究生课程教学暂行规定</w:t>
            </w:r>
          </w:p>
          <w:p>
            <w:pPr>
              <w:spacing w:line="200" w:lineRule="exact"/>
              <w:rPr>
                <w:rFonts w:ascii="Times New Roman" w:hAnsi="Times New Roman" w:eastAsia="宋体"/>
                <w:color w:val="000000" w:themeColor="text1"/>
                <w:szCs w:val="24"/>
              </w:rPr>
            </w:pP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研究生课程教学是研究生培养工作的重要组成部分，是研究生掌握坚实基础理论和系统专业知识的重要途径。为加强和规范研究生课程教学管理，建立和维护良好的课程教学秩序，促进研究生课程教学质量的不断提高，特制定本规定。</w:t>
            </w:r>
          </w:p>
          <w:p>
            <w:pPr>
              <w:spacing w:line="520" w:lineRule="exact"/>
              <w:ind w:firstLine="480" w:firstLineChars="2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一、教师授课资格</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研究生课程授课教师必须同时具备以下基本条件：</w:t>
            </w:r>
            <w:r>
              <w:rPr>
                <w:rFonts w:hint="eastAsia" w:ascii="仿宋_GB2312" w:hAnsi="Times New Roman" w:eastAsia="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（一）坚持四项基本原则，具有良好的政治思想素质。作风正派，治学严谨，教书育人。</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（二）教学经验丰富，具有副教授（或相当专业技术职务）以上职称或具有博士学位。教学成效显著者可适当降低职称、学历要求，但需经二级学院分管领导审核同意并报学校研究生管理部门备案。</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学位点提出具体课程的拟聘人员，二级学院对其进行资格审定，报学校研究生管理部门备案。</w:t>
            </w:r>
          </w:p>
          <w:p>
            <w:pPr>
              <w:spacing w:line="520" w:lineRule="exact"/>
              <w:ind w:firstLine="480" w:firstLineChars="2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二、授课教师基本职责</w:t>
            </w:r>
          </w:p>
          <w:p>
            <w:pPr>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（一）遵守学校教学规范，认真参与教学大纲和有关课程教学文件的制订或修订工作。</w:t>
            </w:r>
          </w:p>
          <w:p>
            <w:pPr>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（二）严格依照培养方案和教学大纲落实教学工作，精讲课程内容。</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（三）对所任课程的全部教学环节负责，在传授知识的同时，促进学生知识、能力、素质的协调发展。</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（四）维护课堂纪律，约束授课期间学生的不良行为。</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（五）在保证基本教学目标和教学要求的前提下，积极探索适合研究生教学的新方法、新手段。</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（六）对所任课程进行深入的研究，积极投身教学改革和各项学术活动，并将学术研究和教学改革的成果带入课堂教学。</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b/>
                <w:bCs/>
                <w:color w:val="000000" w:themeColor="text1"/>
                <w:sz w:val="24"/>
                <w:szCs w:val="24"/>
              </w:rPr>
              <w:t>三、课程教学大纲和教学日历</w:t>
            </w:r>
            <w:r>
              <w:rPr>
                <w:rFonts w:hint="eastAsia" w:ascii="仿宋_GB2312" w:hAnsi="Times New Roman" w:eastAsia="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一）教学大纲是实施课程教学的基本文件，是衡量课程教学目标的基本标准。所有课程应编写课程教学大纲。教学大纲应在保持相对稳定的前提下，根据学科发展和社会需求的变化适时进行相应调整。教学大纲的变更需由学位点提出要求，二级学院提前向学校研究生管理部门递交申请，经学校审核同意，修订后的教学大纲于下一个学期执行。</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授课教师应根据研究生课程教学大纲和开课一览表，编写教学日历。教学日历应包括课程名称、学时、授课对象、授课具体时间安排、授课方式、课外学习要求等内容，授课教师和学位点负责人须在教学日历上签名。授课教师应在新学期第一次上课时，向学生提供教学日历。每学期开学后一周内，二级学院将教学日历汇总后交学校研究生管理部门备案。</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b/>
                <w:bCs/>
                <w:color w:val="000000" w:themeColor="text1"/>
                <w:sz w:val="24"/>
                <w:szCs w:val="24"/>
              </w:rPr>
              <w:t>四、课程安排与调课、停课</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一）全校性的公共基础课由学校研究生管理部门统一安排，学科课程由各二级学院安排。授课教师不得随意增减学时、更改授课时间、地点和内容。若因特殊情况需要更换授课教师，必须由教师所在二级学院出具书面说明，二级学院分管院长签字同意后，报学校研究生管理部门审核，未经批准不得随意更换授课教师。</w:t>
            </w:r>
            <w:r>
              <w:rPr>
                <w:rFonts w:hint="eastAsia" w:ascii="仿宋_GB2312" w:hAnsi="Times New Roman" w:eastAsia="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二）授课教师应按时上课，不迟到，不早退。若有特殊情况需要调课，授课教师需提前与学生协商补课安排，并填写《浙江科技学院研究生课程调课审批表》，写明原课程安排、补课安排及调课原因，经所在二级学院分管院长签字同意并报学校研究生管理部门备案后，方可生效。授课教师负责将调课情况及时、准确地通知学生。</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（三）授课教师不得擅自停课。</w:t>
            </w:r>
          </w:p>
          <w:p>
            <w:pPr>
              <w:tabs>
                <w:tab w:val="left" w:pos="360"/>
                <w:tab w:val="left" w:pos="540"/>
              </w:tabs>
              <w:spacing w:line="520" w:lineRule="exact"/>
              <w:ind w:firstLine="480" w:firstLineChars="200"/>
              <w:rPr>
                <w:rFonts w:ascii="仿宋_GB2312" w:hAnsi="宋体" w:eastAsia="仿宋_GB2312" w:cs="宋体"/>
                <w:color w:val="000000" w:themeColor="text1"/>
                <w:sz w:val="24"/>
                <w:szCs w:val="24"/>
              </w:rPr>
            </w:pPr>
            <w:r>
              <w:rPr>
                <w:rFonts w:hint="eastAsia" w:ascii="仿宋_GB2312" w:hAnsi="Times New Roman" w:eastAsia="仿宋_GB2312" w:cs="仿宋_GB2312"/>
                <w:bCs/>
                <w:color w:val="000000" w:themeColor="text1"/>
                <w:sz w:val="24"/>
                <w:szCs w:val="24"/>
              </w:rPr>
              <w:t xml:space="preserve"> </w:t>
            </w:r>
            <w:r>
              <w:rPr>
                <w:rFonts w:hint="eastAsia" w:ascii="仿宋_GB2312" w:hAnsi="Times New Roman" w:eastAsia="仿宋_GB2312" w:cs="仿宋_GB2312"/>
                <w:b/>
                <w:bCs/>
                <w:color w:val="000000" w:themeColor="text1"/>
                <w:sz w:val="24"/>
                <w:szCs w:val="24"/>
              </w:rPr>
              <w:t>五、教材或主要参考书</w:t>
            </w:r>
            <w:r>
              <w:rPr>
                <w:rFonts w:hint="eastAsia" w:ascii="仿宋_GB2312" w:hAnsi="Times New Roman" w:eastAsia="仿宋_GB2312"/>
                <w:b/>
                <w:bCs/>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（一）为便于学生预习和复习，授课教师应指定本课程教材或主要参考书，鼓励选用教育部的“面向21世纪研究生教学用书规划教材”，引导教师自编硕士研究生公共课、基础课和专业基础课教材。</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 国内外没有适用教材或主要参考书的课程，授课教师应在新学期开课第一周内向学生提供内容较为详实的讲义或参考资料。</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（三）以专题报告形式进行授课的课程，授课教师应在每一专题开始前一周将相关参考资料提供给学生。</w:t>
            </w:r>
          </w:p>
          <w:p>
            <w:pPr>
              <w:spacing w:line="520" w:lineRule="exact"/>
              <w:ind w:firstLine="480" w:firstLineChars="2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六、课堂管理</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（一）授课教师对课堂教学管理负有责任，应有效地设计和组织课堂教学活动，确保教学活动有序开展。</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（二）授课教师应严明课堂纪律，若发现有影响教学秩序和教学质量的问题，应及时纠正或及时向学生所在二级学院或学校研究生管理部门反映。</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（三）对于未进行事先选课的研究生或未办理旁听手续的其他听课人员，授课教师可不予考核，不给成绩。</w:t>
            </w:r>
          </w:p>
          <w:p>
            <w:pPr>
              <w:spacing w:line="520" w:lineRule="exact"/>
              <w:ind w:firstLine="288" w:firstLineChars="12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 xml:space="preserve">  （四）若研究生所选课程因故停开，经二级学院同意并报学校研究生管理部门备案，研究生可在导师指导下选修相近课程并参加考核。</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b/>
                <w:bCs/>
                <w:color w:val="000000" w:themeColor="text1"/>
                <w:sz w:val="24"/>
                <w:szCs w:val="24"/>
              </w:rPr>
              <w:t>七、课程考核与成绩评定、录入</w:t>
            </w:r>
            <w:r>
              <w:rPr>
                <w:rFonts w:hint="eastAsia" w:ascii="仿宋_GB2312" w:hAnsi="Times New Roman" w:eastAsia="仿宋_GB2312"/>
                <w:b/>
                <w:bCs/>
                <w:color w:val="000000" w:themeColor="text1"/>
                <w:sz w:val="24"/>
                <w:szCs w:val="24"/>
              </w:rPr>
              <w:br w:type="textWrapping"/>
            </w:r>
            <w:r>
              <w:rPr>
                <w:rFonts w:hint="eastAsia" w:ascii="仿宋_GB2312" w:hAnsi="Times New Roman" w:eastAsia="仿宋_GB2312" w:cs="仿宋_GB2312"/>
                <w:color w:val="000000" w:themeColor="text1"/>
                <w:sz w:val="24"/>
                <w:szCs w:val="24"/>
              </w:rPr>
              <w:t xml:space="preserve">    （一）研究生学习的所有课程都必须进行考核。考核分为考试和考查两种，所有学位课程必须进行考试，非学位课可采取考试或考查。考试可采取开卷、闭卷、口试加笔试等不同的形式；考查可根据平时听课、完成作业、课堂讨论、课程论文、调研报告、社会实践等情况综合评定成绩。授课教师应在新学期第一次上课时，向学生明确说明本门课程的考核方式。</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（二）所有研究生考试课程对每次考试应准备两套符合教学基本要求、难易适当的试题，由开课二级学院抽取一套为当次考试试题，另一套作为补考卷备用。条件成熟的课程应逐步实行教考分离。</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课程考核结束后，授课教师要及时、准确、公正地评阅试卷。研究生课程成绩评定，学位课采用百分制，非学位课若不宜采用百分制，可采用五级记分制，分为优（90～100分）、良（80～89分）、中（70～79分）、及格（60～69分）和不及格（60分以下）。</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四）阅卷结束后，授课教师将有本人签名的考试成绩登记表一式两份交所在二级学院，二级学院把本学院所开课程的成绩单汇总后，一般于当学期结束前一周内进行审核并确认公布，并将有教师签名的考试成绩登记表一份报送学校研究生管理部门备案。</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五）研究生成绩单一经提交，不得更改或补录，授课教师如因特殊情况必须更改或补录学生考核成绩时，必须以书面形式说明原因，并附原试卷或论文，经授课教师本人签字，二级学院分管领导签署意见批准后生效。</w:t>
            </w:r>
          </w:p>
          <w:p>
            <w:pPr>
              <w:spacing w:line="520" w:lineRule="exact"/>
              <w:ind w:firstLine="480" w:firstLineChars="2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八、免修、补考、重修和缓考</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（一）免修</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1.免修条件</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1）英语：全国大学英语六级480分以上（其中听力成绩85分以上）；通过英语专业四级；托福75分以上；雅思5.5分以上；研究生入学考试英语成绩75分以上，且面试时听力成绩占听力总分的80％以上。符合上述条件之一者（成绩需在有效期内）可以免修公共类学位课程中英语课程。</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（2）部分学科课程：参加过相关学科研究生课程学习的研究生，可根据自身的学习情况，提出学科课程免修申请。</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2.免修审批程序</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免修须由研究生本人在每学期开学后一周内提出申请，并附相关证明，经导师同意，学科课程免修需经学位点的授课教师考核，二级学院分管院长同意，并报学校研究生管理部门批准后方可准予免修。</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3.免修成绩</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申请免修的研究生可不参加课程考核，英语免修成绩登记为80分，学科课程免修成绩按免修考核成绩记。</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（二）补考：若研究生考核成绩不合格，学校给予一次补考机会。补考由开课二级学院安排，原则上在下一学期开学第一周进行。补考合格成绩覆盖其原先不合格成绩。</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（三）重修：补考不合格的研究生跟下一届研究生参加重修，重修课程的学习和考核与原课程要求相同。每门课程一般只重修一次，重修后的合格成绩覆盖其原先不合格成绩或“缺考”记录。</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四）缓考：原则上研究生课程学习不能缓考。研究生因特殊原因不能按时应考，必须事先书面申请，经授课教师、导师、学位点、二级学院同意并报学校研究生管理部门备案后，方可缓考。申请缓考的研究生，参加开课学院安排的补考。</w:t>
            </w:r>
          </w:p>
          <w:p>
            <w:pPr>
              <w:spacing w:line="520" w:lineRule="exact"/>
              <w:ind w:firstLine="480" w:firstLineChars="200"/>
              <w:rPr>
                <w:rFonts w:ascii="仿宋_GB2312" w:hAnsi="Times New Roman" w:eastAsia="仿宋_GB2312"/>
                <w:b/>
                <w:bCs/>
                <w:color w:val="000000" w:themeColor="text1"/>
                <w:sz w:val="24"/>
                <w:szCs w:val="24"/>
              </w:rPr>
            </w:pPr>
            <w:r>
              <w:rPr>
                <w:rFonts w:hint="eastAsia" w:ascii="仿宋_GB2312" w:hAnsi="Times New Roman" w:eastAsia="仿宋_GB2312" w:cs="仿宋_GB2312"/>
                <w:b/>
                <w:bCs/>
                <w:color w:val="000000" w:themeColor="text1"/>
                <w:sz w:val="24"/>
                <w:szCs w:val="24"/>
              </w:rPr>
              <w:t>九、课程总结</w:t>
            </w:r>
          </w:p>
          <w:p>
            <w:pPr>
              <w:spacing w:line="520" w:lineRule="exact"/>
              <w:ind w:firstLine="480" w:firstLineChars="200"/>
              <w:rPr>
                <w:rFonts w:ascii="仿宋_GB2312" w:hAnsi="Times New Roman" w:eastAsia="仿宋_GB2312"/>
                <w:color w:val="000000" w:themeColor="text1"/>
                <w:sz w:val="24"/>
                <w:szCs w:val="24"/>
              </w:rPr>
            </w:pPr>
            <w:r>
              <w:rPr>
                <w:rFonts w:hint="eastAsia" w:ascii="仿宋_GB2312" w:hAnsi="Times New Roman" w:eastAsia="仿宋_GB2312" w:cs="仿宋_GB2312"/>
                <w:color w:val="000000" w:themeColor="text1"/>
                <w:sz w:val="24"/>
                <w:szCs w:val="24"/>
              </w:rPr>
              <w:t>授课教师在课程结束后进行研究生课程教学总结，总结内容包括研究生学习情况分析、研究生对该课的意见与要求、今后改进设想、教学方法总结以及对教学管理工作的意见、要求和建议等。二级学院可将教学总结作为研究生课程建设的重要参考资料归档保存，并作为评选优秀课程的重要依据。学校研究生管理部门、二级学院将不定期组织开展课程抽检、评估。</w:t>
            </w:r>
          </w:p>
          <w:p>
            <w:pPr>
              <w:spacing w:before="312" w:line="520" w:lineRule="exact"/>
              <w:ind w:firstLine="480" w:firstLineChars="200"/>
              <w:rPr>
                <w:rFonts w:ascii="仿宋_GB2312" w:hAnsi="Times New Roman" w:eastAsia="仿宋_GB2312"/>
                <w:color w:val="000000" w:themeColor="text1"/>
                <w:sz w:val="32"/>
                <w:szCs w:val="32"/>
              </w:rPr>
            </w:pPr>
            <w:r>
              <w:rPr>
                <w:rFonts w:hint="eastAsia" w:ascii="仿宋_GB2312" w:hAnsi="Times New Roman" w:eastAsia="仿宋_GB2312" w:cs="仿宋_GB2312"/>
                <w:b/>
                <w:color w:val="000000" w:themeColor="text1"/>
                <w:sz w:val="24"/>
                <w:szCs w:val="24"/>
              </w:rPr>
              <w:t>十、</w:t>
            </w:r>
            <w:r>
              <w:rPr>
                <w:rFonts w:hint="eastAsia" w:ascii="仿宋_GB2312" w:hAnsi="Times New Roman" w:eastAsia="仿宋_GB2312" w:cs="仿宋_GB2312"/>
                <w:color w:val="000000" w:themeColor="text1"/>
                <w:sz w:val="24"/>
                <w:szCs w:val="24"/>
              </w:rPr>
              <w:t>本规定自公布之日起实行，由学校研究生管理部门负责解释。</w:t>
            </w:r>
          </w:p>
        </w:tc>
      </w:tr>
    </w:tbl>
    <w:p>
      <w:pPr>
        <w:spacing w:line="600" w:lineRule="exact"/>
        <w:jc w:val="center"/>
        <w:rPr>
          <w:rFonts w:ascii="方正小标宋简体" w:hAnsi="宋体" w:eastAsia="方正小标宋简体" w:cs="方正小标宋简体"/>
          <w:b/>
          <w:color w:val="000000" w:themeColor="text1"/>
          <w:sz w:val="30"/>
          <w:szCs w:val="30"/>
        </w:rPr>
      </w:pPr>
    </w:p>
    <w:p>
      <w:pPr>
        <w:spacing w:line="600" w:lineRule="exact"/>
        <w:jc w:val="center"/>
        <w:rPr>
          <w:rFonts w:ascii="方正小标宋简体" w:hAnsi="宋体" w:eastAsia="方正小标宋简体" w:cs="方正小标宋简体"/>
          <w:b/>
          <w:color w:val="000000" w:themeColor="text1"/>
          <w:sz w:val="30"/>
          <w:szCs w:val="30"/>
        </w:rPr>
      </w:pPr>
      <w:r>
        <w:rPr>
          <w:rFonts w:ascii="方正小标宋简体" w:hAnsi="宋体" w:eastAsia="方正小标宋简体" w:cs="方正小标宋简体"/>
          <w:b/>
          <w:color w:val="000000" w:themeColor="text1"/>
          <w:sz w:val="30"/>
          <w:szCs w:val="30"/>
        </w:rPr>
        <w:t>浙江科技学院研究生</w:t>
      </w:r>
    </w:p>
    <w:p>
      <w:pPr>
        <w:spacing w:line="600" w:lineRule="exact"/>
        <w:jc w:val="center"/>
        <w:rPr>
          <w:rFonts w:ascii="方正小标宋简体" w:hAnsi="宋体" w:eastAsia="方正小标宋简体" w:cs="方正小标宋简体"/>
          <w:b/>
          <w:color w:val="000000" w:themeColor="text1"/>
          <w:sz w:val="30"/>
          <w:szCs w:val="30"/>
        </w:rPr>
      </w:pPr>
      <w:r>
        <w:rPr>
          <w:rFonts w:ascii="方正小标宋简体" w:hAnsi="宋体" w:eastAsia="方正小标宋简体" w:cs="方正小标宋简体"/>
          <w:b/>
          <w:color w:val="000000" w:themeColor="text1"/>
          <w:sz w:val="30"/>
          <w:szCs w:val="30"/>
        </w:rPr>
        <w:t>教学改革研究项目管理办法（试行）</w:t>
      </w:r>
    </w:p>
    <w:p>
      <w:pPr>
        <w:spacing w:line="200" w:lineRule="exact"/>
        <w:jc w:val="center"/>
        <w:rPr>
          <w:rFonts w:ascii="黑体" w:hAnsi="宋体" w:eastAsia="黑体" w:cs="黑体"/>
          <w:b/>
          <w:color w:val="000000" w:themeColor="text1"/>
          <w:sz w:val="32"/>
          <w:szCs w:val="32"/>
        </w:rPr>
      </w:pP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为贯彻落实国务院学位委员会、教育部《关于加强学位与研究生教育质量保证和监督体系建设的意见》（学位〔2014〕3号）和教育部办公厅《关于进一步做好研究生培养机制改革试点工作的通知》（教研厅〔2009〕1号）文件精神，优化研究生培养过程，深化我校研究生教学改革，不断提高研究生培养质量，学校决定设立研究生教学改革研究项目，并制定本管理办法。</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第一条  组织实施</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研究生教学改革研究项目评审、立项、检查、结项等工作由学校统一管理，由研究生处负责组织实施。</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第二条  选题范围</w:t>
      </w:r>
    </w:p>
    <w:p>
      <w:pPr>
        <w:snapToGrid w:val="0"/>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研究生教学改革研究项目重点资助创新型人才培养模式、课程体系、教学内容、教学方法与手段，教学环节，教学管理等方面的改革和研究。教学改革研究项目方案要求注重实践，项目成果能够推广。</w:t>
      </w:r>
    </w:p>
    <w:p>
      <w:pPr>
        <w:widowControl/>
        <w:spacing w:line="560" w:lineRule="exact"/>
        <w:ind w:firstLine="480" w:firstLineChars="20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申报者可根据以下选题范围自行设计研究项目：</w:t>
      </w:r>
    </w:p>
    <w:p>
      <w:pPr>
        <w:widowControl/>
        <w:spacing w:line="560" w:lineRule="exact"/>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ab/>
      </w:r>
      <w:r>
        <w:rPr>
          <w:rFonts w:ascii="仿宋_GB2312" w:hAnsi="Times New Roman" w:eastAsia="仿宋_GB2312" w:cs="仿宋_GB2312"/>
          <w:color w:val="000000" w:themeColor="text1"/>
          <w:sz w:val="24"/>
          <w:szCs w:val="24"/>
        </w:rPr>
        <w:t>1. 研究生教学质量评估和监控体系研究；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2. 研究生培养方案与课程体系研究；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3. 研究生课程教学方法研究；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4. 研究生实践教学研究；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5. 研究生创新能力培养研究；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6. 研究生管理模式改革研究；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7. 研究生学位论文指导方法研究；</w:t>
      </w:r>
    </w:p>
    <w:p>
      <w:pPr>
        <w:widowControl/>
        <w:spacing w:line="560" w:lineRule="exact"/>
        <w:ind w:firstLine="420"/>
        <w:jc w:val="left"/>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 8. 专业学位培养实践基地的建设和拓展研究。</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第三条  项目申报</w:t>
      </w:r>
    </w:p>
    <w:p>
      <w:pPr>
        <w:snapToGrid w:val="0"/>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研究生教学改革研究项目采取限额申报、专家评审、择优支持的原则，项目申报者应是研究生导师、研究生任课教师、研究生管理工作人员及对研究生教育有独到见解的本校教师。每人每次限报一个负责项目。获得立项的申请者，在项目结题前不得申报新的项目。项目申请负责人和项目组成人员所承担（含参加）在研的项目数合计不得超过两项。对获得国家、省部级立项的研究生教育教学改革项目，将提供配套支持。项目申报须填写《浙江科技学院研究生教学改革研究项目立项申报表》（一式三份），经二级学院（部门）推荐申报。</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第四条  项目评审</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二级学院（部门）对申报的项目进行统一评审推荐并签署意见后，按规定时间将申报表上报研究生处，由研究生处组织专家进行评审。</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第五条  项目管理</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研究生教学改革研究项目分为一般项目和重点项目，研究周期一般为2年，最长不超过3年。</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研究生教学改革研究项目实行校、院、项目负责人三级管理制。研究生处负责经费支持、中期检查、组织验收工作；项目所在二级学院（部门）负责为项目研究和实践提供必要条件，并对项目实施进行管理和监督；项目负责人负责项目具体实施。</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项目实施期间，需要调整项目内容或计划的，由项目负责人提出申请，所在二级学院（部门）主管领导签署意见后提交研究生处审批，研究生处同意后办理相关手续。</w:t>
      </w:r>
    </w:p>
    <w:p>
      <w:pPr>
        <w:spacing w:line="560" w:lineRule="exact"/>
        <w:ind w:firstLine="480" w:firstLineChars="200"/>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第六条  经费管理</w:t>
      </w:r>
    </w:p>
    <w:p>
      <w:pPr>
        <w:adjustRightInd w:val="0"/>
        <w:snapToGrid w:val="0"/>
        <w:spacing w:line="560" w:lineRule="exact"/>
        <w:ind w:firstLine="444" w:firstLineChars="185"/>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研究生教学改革研究项目资助经费为：一般项目为5千元，重点项目为1万元。</w:t>
      </w:r>
    </w:p>
    <w:p>
      <w:pPr>
        <w:adjustRightInd w:val="0"/>
        <w:snapToGrid w:val="0"/>
        <w:spacing w:line="560" w:lineRule="exact"/>
        <w:ind w:firstLine="444" w:firstLineChars="185"/>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研究生教学改革研究项目经费在项目立项后一次审定，分期拨款。</w:t>
      </w:r>
    </w:p>
    <w:p>
      <w:pPr>
        <w:adjustRightInd w:val="0"/>
        <w:snapToGrid w:val="0"/>
        <w:spacing w:line="560" w:lineRule="exact"/>
        <w:ind w:firstLine="444" w:firstLineChars="185"/>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研究生教学改革研究项目经费要专款专用，严格按照学校财务制度列支，不得挪作它用，主要用于与研究项目有关的资料费、印刷费、差旅费等，也可用于研究生课程建设的教学材料、课程调研、学术交流（如参加教学研究类学术会议）、教材出版、多媒体课件制作等费用，以及研究生教育研究类学术刊物的论文发表版面费。</w:t>
      </w:r>
    </w:p>
    <w:p>
      <w:pPr>
        <w:adjustRightInd w:val="0"/>
        <w:snapToGrid w:val="0"/>
        <w:spacing w:line="560" w:lineRule="exact"/>
        <w:ind w:firstLine="444" w:firstLineChars="185"/>
        <w:rPr>
          <w:rFonts w:ascii="仿宋_GB2312" w:eastAsia="仿宋_GB2312" w:cs="仿宋_GB2312"/>
          <w:b/>
          <w:color w:val="000000" w:themeColor="text1"/>
          <w:sz w:val="24"/>
          <w:szCs w:val="24"/>
        </w:rPr>
      </w:pPr>
      <w:r>
        <w:rPr>
          <w:rFonts w:ascii="Times New Roman" w:hAnsi="Times New Roman" w:eastAsia="仿宋_GB2312" w:cs="Times New Roman"/>
          <w:color w:val="000000" w:themeColor="text1"/>
          <w:sz w:val="24"/>
          <w:szCs w:val="24"/>
        </w:rPr>
        <w:t> </w:t>
      </w:r>
      <w:r>
        <w:rPr>
          <w:rFonts w:ascii="仿宋_GB2312" w:hAnsi="Times New Roman" w:eastAsia="仿宋_GB2312" w:cs="仿宋_GB2312"/>
          <w:b/>
          <w:color w:val="000000" w:themeColor="text1"/>
          <w:sz w:val="24"/>
          <w:szCs w:val="24"/>
        </w:rPr>
        <w:t>第七条  项目结题</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项目完成后，项目负责人需按要求填写结题报告，所在二级学院（部门）主管领导签署意见后提交研究生处，研究生处组织专家进行结题验收。验收一般每年一次，学校统一集中验收。验收结果分为优秀、合格、不合格三等，对于成果突出、验收结果为优秀的项目，学校将给予适当经费支持。</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凡学校批准立项的研究生教学改革研究项目应在结项前进行成果鉴定。研究的成果应形成研究论文，并在期刊上公开发表或获得省级及以上教学成果奖；有实用和推广价值，能够逐步应用到研究生培养工作中，促进研究生培养质量的提高。成果应注重理论与实践相结合。</w:t>
      </w:r>
    </w:p>
    <w:p>
      <w:pPr>
        <w:spacing w:line="56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项目结题基本要求是完成项目立项的目标和任务。原则上一般项目的成果要在期刊上公开发表论文，重点项目的成果要在核心期刊上公开发表论文。</w:t>
      </w:r>
    </w:p>
    <w:p>
      <w:pPr>
        <w:spacing w:line="560" w:lineRule="exact"/>
        <w:ind w:firstLine="465"/>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第八条  附则</w:t>
      </w:r>
    </w:p>
    <w:p>
      <w:pPr>
        <w:spacing w:line="560" w:lineRule="exact"/>
        <w:ind w:firstLine="465"/>
        <w:rPr>
          <w:color w:val="000000" w:themeColor="text1"/>
          <w:sz w:val="24"/>
          <w:szCs w:val="24"/>
        </w:rPr>
      </w:pPr>
      <w:r>
        <w:rPr>
          <w:rFonts w:ascii="仿宋_GB2312" w:hAnsi="Times New Roman" w:eastAsia="仿宋_GB2312" w:cs="仿宋_GB2312"/>
          <w:color w:val="000000" w:themeColor="text1"/>
          <w:sz w:val="24"/>
          <w:szCs w:val="24"/>
        </w:rPr>
        <w:t>本办法自发布之日起实行，由研究生处负责解释。</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pStyle w:val="2"/>
        <w:spacing w:before="120" w:after="120"/>
        <w:rPr>
          <w:color w:val="000000" w:themeColor="text1"/>
        </w:rPr>
      </w:pPr>
      <w:bookmarkStart w:id="77" w:name="_Toc280009138"/>
      <w:bookmarkStart w:id="78" w:name="_Toc463765981"/>
      <w:r>
        <w:rPr>
          <w:rFonts w:hint="eastAsia"/>
          <w:color w:val="000000" w:themeColor="text1"/>
        </w:rPr>
        <w:t>浙江科技学院汉语国际教育硕士专业学位实践教学规则</w:t>
      </w:r>
      <w:bookmarkEnd w:id="77"/>
      <w:bookmarkEnd w:id="78"/>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践教学是全日制汉语国际教育硕士研究生培养质量提升的重要环节，落实实践教学环节意义重大。为加快汉语国际教育步伐，更好地培养国际汉语教师，经研究，根据国家教指委《全日制汉语国际教育硕士专业学位来华留学生指导性培养方案》及浙江科技学院关于全日制教育硕士生教育实习的相关规程，现将全日制汉语国际教育硕士专业学位研究生实践教学的有关事项及所需实习材料规定如下。</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一、准予实习的必要条件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1．预参加实习者，须完成一个学年的专业课程学习，修完直接跟教学实习相关的必修课程，成绩合格。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2．实习者身体健康，具有良好的心理素质和汉语教学与实践的应变能力。</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3.实习者汉语水平达到新HSK五级以上（针对来华留学生）。</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二、实习总则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按照培养方案的要求，汉语国际教育硕士专业学位研究生的实习工作量必须达到总学时240课时以上。为保证总学时任务的完成，教育实践除教学实践外，还包括语言实践活动。形式和内容均多样化，教学实践包括教学见习、教学实习、教学调查、参与教学管理、组织中国文化活动等；语言实践包括担任涉外会议或文化交流活动的翻译、参与HSK服务工作、参与汉语国际教育/对外汉语教学的教材编写工作等。</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三、实习细则</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（一）学习期间的实践内容及要求</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1.教学见习</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时间为第二学期。学生到浙江科技学院留学生班级观摩指定教师的课堂教学。综合、听力、口语、阅读四种课型，每种课型要求至少听完整的一课内容（约2-4次课）。</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学习期内的教学见习结束后提交：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①听课笔记；②听课反思。</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3.教学辅导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在校学习期间，辅助教师批改留学生作业，用母语或汉语辅导本国零起点或初级水平的汉语学习者。程度较好者可以协助教师进行HSK辅导（需提供相关材料和指导教师证明）。</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4.其他实践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在校学习期间，实习者可以在中国的汉语培训机构（含业余辅导班）从事一些教学工作，协助办公室进行留学生教学管理工作，参与HSK服务工作，到义乌、永康举办的各类涉外展销会和文化交流活动担任翻译等（需提供相关材料和证明）。</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（二）实习期间的实践内容及要求</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1．教学实习</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（1）常规课堂教学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实习期间，每周完成4节以上的常规课堂教学。每次课堂教学完成后请实习指导教师在授课记录表上签字，作为教学学时数量计算的依据。（授课记录表附后）</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认真备课、撰写教案，每课制作多媒体课件。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实习期间，摄制3个以上课堂教学实录，并由指导老师填写评价表予以评价。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实习结束后应提交：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①课记录表；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②十次典型常规课的完整教案（参见课堂教案参考）和配套的十个多媒体课件。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③3个课堂教学录像光盘和评价表。</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2．教学见习</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期间，在完成实习单位安排的课堂教学任务外，实习者要观摩实习单位实践指导教师或其他教师的课堂教学，记录听课的课堂教学内容，并对该课教学进行反思。听课后由任课教师在听课记录表上签字，作为听课学时数量计算的依据。（听课记录表附后）</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实习结束后应提交：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①听课记录表；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②十次以上的听课笔记和教学反思。</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3．教学管理/组织中国文化活动</w:t>
      </w:r>
    </w:p>
    <w:p>
      <w:pPr>
        <w:adjustRightInd w:val="0"/>
        <w:snapToGrid w:val="0"/>
        <w:spacing w:line="520" w:lineRule="exact"/>
        <w:ind w:firstLine="840" w:firstLineChars="35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协助实习学校进行一些教学组织管理工作，将这些工作记录下来作为学生管理案例。</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实习结束后应提交：</w:t>
      </w:r>
    </w:p>
    <w:p>
      <w:pPr>
        <w:adjustRightInd w:val="0"/>
        <w:snapToGrid w:val="0"/>
        <w:spacing w:line="520" w:lineRule="exact"/>
        <w:ind w:firstLine="1080" w:firstLineChars="450"/>
        <w:jc w:val="left"/>
        <w:rPr>
          <w:rFonts w:ascii="仿宋_GB2312" w:hAnsi="Times New Roman" w:eastAsia="仿宋_GB2312" w:cs="仿宋_GB2312"/>
          <w:color w:val="000000" w:themeColor="text1"/>
          <w:sz w:val="24"/>
          <w:szCs w:val="24"/>
        </w:rPr>
      </w:pPr>
      <w:r>
        <w:rPr>
          <w:rFonts w:hint="eastAsia" w:ascii="仿宋" w:hAnsi="仿宋" w:eastAsia="仿宋" w:cs="仿宋_GB2312"/>
          <w:color w:val="000000" w:themeColor="text1"/>
          <w:sz w:val="24"/>
          <w:szCs w:val="24"/>
        </w:rPr>
        <w:t>①</w:t>
      </w:r>
      <w:r>
        <w:rPr>
          <w:rFonts w:hint="eastAsia" w:ascii="仿宋_GB2312" w:hAnsi="Times New Roman" w:eastAsia="仿宋_GB2312" w:cs="仿宋_GB2312"/>
          <w:color w:val="000000" w:themeColor="text1"/>
          <w:sz w:val="24"/>
          <w:szCs w:val="24"/>
        </w:rPr>
        <w:t>5个学生管理案例；</w:t>
      </w:r>
    </w:p>
    <w:p>
      <w:pPr>
        <w:adjustRightInd w:val="0"/>
        <w:snapToGrid w:val="0"/>
        <w:spacing w:line="520" w:lineRule="exact"/>
        <w:ind w:firstLine="1080" w:firstLineChars="450"/>
        <w:jc w:val="left"/>
        <w:rPr>
          <w:rFonts w:ascii="仿宋_GB2312" w:hAnsi="Times New Roman" w:eastAsia="仿宋_GB2312" w:cs="仿宋_GB2312"/>
          <w:color w:val="000000" w:themeColor="text1"/>
          <w:sz w:val="24"/>
          <w:szCs w:val="24"/>
        </w:rPr>
      </w:pPr>
      <w:r>
        <w:rPr>
          <w:rFonts w:hint="eastAsia" w:ascii="仿宋" w:hAnsi="仿宋" w:eastAsia="仿宋" w:cs="仿宋_GB2312"/>
          <w:color w:val="000000" w:themeColor="text1"/>
          <w:sz w:val="24"/>
          <w:szCs w:val="24"/>
        </w:rPr>
        <w:t>②</w:t>
      </w:r>
      <w:r>
        <w:rPr>
          <w:rFonts w:hint="eastAsia" w:ascii="仿宋_GB2312" w:hAnsi="Times New Roman" w:eastAsia="仿宋_GB2312" w:cs="仿宋_GB2312"/>
          <w:color w:val="000000" w:themeColor="text1"/>
          <w:sz w:val="24"/>
          <w:szCs w:val="24"/>
        </w:rPr>
        <w:t>班级管理总结。</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或者，组织1次以上的中国文化活动。实习结束后应提交：</w:t>
      </w:r>
    </w:p>
    <w:p>
      <w:pPr>
        <w:adjustRightInd w:val="0"/>
        <w:snapToGrid w:val="0"/>
        <w:spacing w:line="520" w:lineRule="exact"/>
        <w:ind w:firstLine="840" w:firstLineChars="350"/>
        <w:rPr>
          <w:rFonts w:ascii="仿宋_GB2312" w:hAnsi="Times New Roman" w:eastAsia="仿宋_GB2312" w:cs="仿宋_GB2312"/>
          <w:color w:val="000000" w:themeColor="text1"/>
          <w:sz w:val="24"/>
          <w:szCs w:val="24"/>
        </w:rPr>
      </w:pPr>
      <w:r>
        <w:rPr>
          <w:rFonts w:hint="eastAsia" w:ascii="仿宋" w:hAnsi="仿宋" w:eastAsia="仿宋" w:cs="仿宋_GB2312"/>
          <w:color w:val="000000" w:themeColor="text1"/>
          <w:sz w:val="24"/>
          <w:szCs w:val="24"/>
        </w:rPr>
        <w:t>①</w:t>
      </w:r>
      <w:r>
        <w:rPr>
          <w:rFonts w:hint="eastAsia" w:ascii="仿宋_GB2312" w:hAnsi="Times New Roman" w:eastAsia="仿宋_GB2312" w:cs="仿宋_GB2312"/>
          <w:color w:val="000000" w:themeColor="text1"/>
          <w:sz w:val="24"/>
          <w:szCs w:val="24"/>
        </w:rPr>
        <w:t>活动设计方案、实际操作过程（制成书面材料）；</w:t>
      </w:r>
    </w:p>
    <w:p>
      <w:pPr>
        <w:adjustRightInd w:val="0"/>
        <w:snapToGrid w:val="0"/>
        <w:spacing w:line="520" w:lineRule="exact"/>
        <w:ind w:firstLine="840" w:firstLineChars="350"/>
        <w:rPr>
          <w:rFonts w:ascii="仿宋_GB2312" w:hAnsi="Times New Roman" w:eastAsia="仿宋_GB2312" w:cs="仿宋_GB2312"/>
          <w:color w:val="000000" w:themeColor="text1"/>
          <w:sz w:val="24"/>
          <w:szCs w:val="24"/>
        </w:rPr>
      </w:pPr>
      <w:r>
        <w:rPr>
          <w:rFonts w:hint="eastAsia" w:ascii="仿宋" w:hAnsi="仿宋" w:eastAsia="仿宋" w:cs="仿宋_GB2312"/>
          <w:color w:val="000000" w:themeColor="text1"/>
          <w:sz w:val="24"/>
          <w:szCs w:val="24"/>
        </w:rPr>
        <w:t>②</w:t>
      </w:r>
      <w:r>
        <w:rPr>
          <w:rFonts w:hint="eastAsia" w:ascii="仿宋_GB2312" w:hAnsi="Times New Roman" w:eastAsia="仿宋_GB2312" w:cs="仿宋_GB2312"/>
          <w:color w:val="000000" w:themeColor="text1"/>
          <w:sz w:val="24"/>
          <w:szCs w:val="24"/>
        </w:rPr>
        <w:t>实习学校出具的确实已经组织过该活动的证明；</w:t>
      </w:r>
    </w:p>
    <w:p>
      <w:pPr>
        <w:adjustRightInd w:val="0"/>
        <w:snapToGrid w:val="0"/>
        <w:spacing w:line="520" w:lineRule="exact"/>
        <w:ind w:firstLine="840" w:firstLineChars="350"/>
        <w:rPr>
          <w:rFonts w:ascii="仿宋_GB2312" w:hAnsi="Times New Roman" w:eastAsia="仿宋_GB2312" w:cs="仿宋_GB2312"/>
          <w:color w:val="000000" w:themeColor="text1"/>
          <w:sz w:val="24"/>
          <w:szCs w:val="24"/>
        </w:rPr>
      </w:pPr>
      <w:r>
        <w:rPr>
          <w:rFonts w:hint="eastAsia" w:ascii="仿宋" w:hAnsi="仿宋" w:eastAsia="仿宋" w:cs="仿宋_GB2312"/>
          <w:color w:val="000000" w:themeColor="text1"/>
          <w:sz w:val="24"/>
          <w:szCs w:val="24"/>
        </w:rPr>
        <w:t>③</w:t>
      </w:r>
      <w:r>
        <w:rPr>
          <w:rFonts w:hint="eastAsia" w:ascii="仿宋_GB2312" w:hAnsi="Times New Roman" w:eastAsia="仿宋_GB2312" w:cs="仿宋_GB2312"/>
          <w:color w:val="000000" w:themeColor="text1"/>
          <w:sz w:val="24"/>
          <w:szCs w:val="24"/>
        </w:rPr>
        <w:t>该活动有代表性的照片（两张）。</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4．教学调查研究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结合汉语教学实际，对教学实习所在地的汉语教学情况进行调查分析，写成有一定水平的调查研究报告。（调研报告内容见《教学实践指导》）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调查研究报告</w:t>
      </w:r>
      <w:r>
        <w:rPr>
          <w:rFonts w:ascii="仿宋_GB2312" w:hAnsi="Times New Roman" w:eastAsia="仿宋_GB2312" w:cs="仿宋_GB2312"/>
          <w:color w:val="000000" w:themeColor="text1"/>
          <w:sz w:val="24"/>
          <w:szCs w:val="24"/>
        </w:rPr>
        <w:t>须理论联系实际</w:t>
      </w:r>
      <w:r>
        <w:rPr>
          <w:rFonts w:hint="eastAsia" w:ascii="仿宋_GB2312" w:hAnsi="Times New Roman" w:eastAsia="仿宋_GB2312" w:cs="仿宋_GB2312"/>
          <w:color w:val="000000" w:themeColor="text1"/>
          <w:sz w:val="24"/>
          <w:szCs w:val="24"/>
        </w:rPr>
        <w:t>、内容翔实，严禁抄袭、剽窃他人成果，否则一经发现即按教育实习成绩不及格处理。调查研究报告一般不少于6000字。</w:t>
      </w:r>
    </w:p>
    <w:p>
      <w:pPr>
        <w:ind w:firstLine="600" w:firstLineChars="200"/>
        <w:rPr>
          <w:rFonts w:ascii="仿宋" w:hAnsi="仿宋" w:eastAsia="仿宋"/>
          <w:b/>
          <w:bCs/>
          <w:color w:val="000000" w:themeColor="text1"/>
          <w:sz w:val="30"/>
          <w:szCs w:val="30"/>
        </w:rPr>
      </w:pPr>
      <w:r>
        <w:rPr>
          <w:rFonts w:hint="eastAsia" w:ascii="仿宋" w:hAnsi="仿宋" w:eastAsia="仿宋"/>
          <w:b/>
          <w:bCs/>
          <w:color w:val="000000" w:themeColor="text1"/>
          <w:sz w:val="30"/>
          <w:szCs w:val="30"/>
        </w:rPr>
        <w:t>5．其他实践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在实习期间，实习者还可以进行一些相关的教学实践和语言实践活动，如协助实习指导教师批改作业、为学生进行业余辅导、在业余辅导班进行辅导、培训实习所在国的汉语教师、在一些文化交流活动中担任翻译工作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除上述实践内容和要求外，要求实习者在实习前制定实习计划，实习期间每天撰写教学日志，并在实习结束后提交该日志；在实习结束后撰写实习总结报告。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实习结束时，实习者还须提交实习学校证明及实习指导教师对学生实习过程的评价，内容包括：已完成教学实习学时数（包括见习、教学管理），实习情况评价。</w:t>
      </w:r>
    </w:p>
    <w:p>
      <w:pPr>
        <w:rPr>
          <w:color w:val="000000" w:themeColor="text1"/>
        </w:rPr>
      </w:pPr>
      <w:r>
        <w:rPr>
          <w:color w:val="000000" w:themeColor="text1"/>
          <w:sz w:val="30"/>
          <w:szCs w:val="30"/>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ascii="方正小标宋简体" w:hAnsi="宋体" w:eastAsia="方正小标宋简体" w:cs="方正小标宋简体"/>
          <w:b/>
          <w:color w:val="000000" w:themeColor="text1"/>
          <w:sz w:val="30"/>
          <w:szCs w:val="30"/>
        </w:rPr>
        <w:t>浙江科技学院研究生课程建设管理办法（试行）</w:t>
      </w:r>
    </w:p>
    <w:p>
      <w:pPr>
        <w:spacing w:line="200" w:lineRule="exact"/>
        <w:rPr>
          <w:color w:val="000000" w:themeColor="text1"/>
        </w:rPr>
      </w:pP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根据国务院学位委员会、教育部《关于加强学位与研究生教育质量保证和监督体系建设的意见》（学位〔2014〕3号）和《教育部关于改进和加强研究生课程建设的意见》（教研〔2014〕5号）文件精神，为加强研究生课程体系建设、提高研究生培养质量，特制定本办法。</w:t>
      </w:r>
    </w:p>
    <w:p>
      <w:pPr>
        <w:adjustRightInd w:val="0"/>
        <w:snapToGrid w:val="0"/>
        <w:spacing w:line="200" w:lineRule="exact"/>
        <w:ind w:firstLine="480" w:firstLineChars="200"/>
        <w:rPr>
          <w:rFonts w:ascii="仿宋_GB2312" w:eastAsia="仿宋_GB2312" w:cs="仿宋_GB2312"/>
          <w:color w:val="000000" w:themeColor="text1"/>
          <w:sz w:val="24"/>
          <w:szCs w:val="24"/>
        </w:rPr>
      </w:pP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第一章 宗旨与目标</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一条研究生课程建设以现代教育理念为指导，根据经济社会发展需求、学科发展前沿和研究生个人发展需要，努力建设与学校研究生培养目标和学科发展目标一致的结构合理、体系完善、特色鲜明的研究生课程体系。</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第二条立项建设的研究生课程应具有鲜明的研究生教育教学特点，有利于构建良好的研究生知识结构，提升研究生的科学性思维和实践能力，促进研究生的创新创业研究，并提高研究生的综合素质。</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第三条研究生课程建设的目标：</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课程体系、教学内容显著改善，能较好地适应研究生教育的特点和学科发展趋势。能将科研成果运用到教学中，形成系列教学改革成果。</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能够体现课程教学范式的改革，改变以知识灌输为特征的课堂教学状态，倡导启发式、讨论式、参与式、探究式等不同教学模式。培养学生的创新精神和提出问题、分析问题、解决问题的能力。</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体现学科前沿性，积极引进先进的、实用的英文原版教材和行业优秀案例及其它代表学科前沿的教学资料。启发学生追踪、探讨本学科的前沿问题。</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4. 教学模式与教学方法多元化，将案例教学、实践教学、课堂外教学等不同教学手段渗透于教学环节中。</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5. 开设有特色的新课程，突出学科的发展前沿和研究生学术能力的培养，突出研究生工程实践能力的培养，突出研究生创新能力的培养，满足研究生的个性发展和就业市场的人才需求。</w:t>
      </w: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第二章 建设内容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第四条研究生课程建设应包含的主要内容：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课程师资队伍建设；</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课程教学大纲和教学规范；</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教学范式的改革；</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4. 教学案例库建设；</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5. 实践环节的改革与创新；</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6. 教学方法的改革；</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7. 研究生教材和文献库建设；</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8. 教学内容和课程体系。</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第五条立项建设的研究生课程同时也作为教学成果奖的培育项目，鼓励教师将立项课程经若干年的建设，积极申报各级各类教学成果奖。</w:t>
      </w:r>
    </w:p>
    <w:p>
      <w:pPr>
        <w:adjustRightInd w:val="0"/>
        <w:snapToGrid w:val="0"/>
        <w:spacing w:line="200" w:lineRule="exact"/>
        <w:ind w:firstLine="480" w:firstLineChars="200"/>
        <w:rPr>
          <w:rFonts w:ascii="仿宋_GB2312" w:eastAsia="仿宋_GB2312" w:cs="仿宋_GB2312"/>
          <w:color w:val="000000" w:themeColor="text1"/>
          <w:sz w:val="24"/>
          <w:szCs w:val="24"/>
        </w:rPr>
      </w:pP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第三章 申报和立项办法</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第六条研究生课程的授课教师和计划开设研究生课程的教师都可申报研究生课程建设项目。</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第七条研究生课程建设项目按重点项目和一般项目两类进行申报和实施。核心的学位课或课程群、覆盖面很广的学校公共课或课程群可以申报重点项目。</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第八条申报研究生课程建设项目应由课程负责人组织填写《浙江科技学院研究生课程建设申报表》，经所在二级学院（部）初审并出具推荐意见后，汇总报研究生处。</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第九条研究生课程建设项目由研究生处负责评审。</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第十条立项与评审按以下标准进行：</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课程设置与申报条件是否符合本办法规定；</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课程负责人和参加人员的科研成果和教学情况；</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课程建设的必要性及预期达到的教改效果；</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4. 建设内容是否具有特色；</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5. 课程建设措施是否科学、合理。</w:t>
      </w:r>
    </w:p>
    <w:p>
      <w:pPr>
        <w:adjustRightInd w:val="0"/>
        <w:snapToGrid w:val="0"/>
        <w:spacing w:line="200" w:lineRule="exact"/>
        <w:ind w:firstLine="480" w:firstLineChars="200"/>
        <w:rPr>
          <w:rFonts w:ascii="仿宋_GB2312" w:eastAsia="仿宋_GB2312" w:cs="仿宋_GB2312"/>
          <w:color w:val="000000" w:themeColor="text1"/>
          <w:sz w:val="24"/>
          <w:szCs w:val="24"/>
        </w:rPr>
      </w:pP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第四章 经费资助与管理</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第十一条获准立项的研究生建设课程，在填写《研究生课程建设任务书》并报研究生处备案后，学校拨给核定建设经费。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第十二条学校设立研究生课程建设专项经费，重点项目每项一般为2万元，一般项目每项一般为1万元。项目经费分两次下达，立项时下拨50%, 中期检查通过后再下拨50%。</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第十三条研究生课程建设经费应严格按照学校有关财务管理制度，在课程建设规划所限定的范围内使用，并接受校计财处和研究生处的监督。</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经费使用范围主要包括：资料购置和复印费，案例编写费，外出调研差旅费，学术会议费，外聘专家的讲课费，教材出版、多媒体课件制作费和研究生教育研究类学术刊物的论文发表版面费等。</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第十四条课程建设负责人因故更换的，二级学院（部）应及时检查课程建设相关工作的移交情况和经费使用情况，重新指定课程负责人，并报研究生处备案。</w:t>
      </w: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第五章 检查与验收</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第十五条获准立项的研究生课程建设项目周期一般为2年，最长不超过3年。</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六条研究生课程建设实行中期检查制度。课程负责人应在项目立项一年后，向研究生处提交课程建设项目中期考核报告，内容包括课程建设目标完成情况、课程建设进展情况、建设经费使用情况和阶段性成果等。凡未及时提交课程建设报告的，视为中期检查不合格。</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第十七条研究生课程建设完成后，课程负责人应向研究生处提交课程建设结项报告，经专家评审通过后，准予结项。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第十八条研究生课程建设结项时，须提供关于实践教学、课堂外教学，或实施讨论式教学、探究式教学等教学记录及其他书面材料，同时满足以下条件中的3项：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1. 重点项目在一级期刊上发表教改论文1篇及以上，一般项目在国内核心期刊上发表教改论文1篇及以上；</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2. 举行课堂教学观摩和其他形式的教学研讨会，同时建立开放式的交互型动态课程网站；</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3. 编著10个及以上教学案例，编著研究生教材或阅读资料1册；</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4. 其他能反映课程立项前后教学效果显著提高的证明材料。</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第十九条课程建设取得突出成果的，可参加校教学成果奖的评选，获教学成果奖三等奖以上的视同验收合格，可免除评审准予结项。</w:t>
      </w:r>
    </w:p>
    <w:p>
      <w:pPr>
        <w:adjustRightInd w:val="0"/>
        <w:snapToGrid w:val="0"/>
        <w:spacing w:line="520" w:lineRule="exact"/>
        <w:ind w:firstLine="480" w:firstLineChars="200"/>
        <w:rPr>
          <w:rFonts w:ascii="仿宋_GB2312" w:eastAsia="仿宋_GB2312" w:cs="仿宋_GB2312"/>
          <w:color w:val="000000" w:themeColor="text1"/>
          <w:sz w:val="24"/>
          <w:szCs w:val="24"/>
        </w:rPr>
      </w:pPr>
      <w:r>
        <w:rPr>
          <w:rFonts w:ascii="仿宋_GB2312" w:hAnsi="Times New Roman" w:eastAsia="仿宋_GB2312" w:cs="仿宋_GB2312"/>
          <w:color w:val="000000" w:themeColor="text1"/>
          <w:sz w:val="24"/>
          <w:szCs w:val="24"/>
        </w:rPr>
        <w:t>第二十条课程建设验收不合格的，必须限期进行整改。若整改后验收仍不合格的，收回剩余专项资金，并取消该课程负责人下一轮次申报研究生课程建设的资格。</w:t>
      </w:r>
    </w:p>
    <w:p>
      <w:pPr>
        <w:adjustRightInd w:val="0"/>
        <w:snapToGrid w:val="0"/>
        <w:spacing w:line="520" w:lineRule="exact"/>
        <w:jc w:val="center"/>
        <w:rPr>
          <w:rFonts w:ascii="仿宋_GB2312" w:eastAsia="仿宋_GB2312" w:cs="仿宋_GB2312"/>
          <w:b/>
          <w:color w:val="000000" w:themeColor="text1"/>
          <w:sz w:val="24"/>
          <w:szCs w:val="24"/>
        </w:rPr>
      </w:pPr>
      <w:r>
        <w:rPr>
          <w:rFonts w:ascii="仿宋_GB2312" w:hAnsi="Times New Roman" w:eastAsia="仿宋_GB2312" w:cs="仿宋_GB2312"/>
          <w:b/>
          <w:color w:val="000000" w:themeColor="text1"/>
          <w:sz w:val="24"/>
          <w:szCs w:val="24"/>
        </w:rPr>
        <w:t>第六章 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ascii="仿宋_GB2312" w:hAnsi="Times New Roman" w:eastAsia="仿宋_GB2312" w:cs="仿宋_GB2312"/>
          <w:color w:val="000000" w:themeColor="text1"/>
          <w:sz w:val="24"/>
          <w:szCs w:val="24"/>
        </w:rPr>
        <w:t>第二十一条本办法自公布之日起实行，由学校研究生处负责解释。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widowControl/>
        <w:jc w:val="left"/>
        <w:rPr>
          <w:color w:val="000000" w:themeColor="text1"/>
          <w:sz w:val="24"/>
          <w:szCs w:val="24"/>
        </w:rPr>
      </w:pPr>
      <w:r>
        <w:rPr>
          <w:color w:val="000000" w:themeColor="text1"/>
          <w:sz w:val="24"/>
          <w:szCs w:val="24"/>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浙江科技学院研究生学籍管理实施细则（试行）</w:t>
      </w:r>
    </w:p>
    <w:p>
      <w:pPr>
        <w:spacing w:line="520" w:lineRule="exact"/>
        <w:ind w:firstLine="480" w:firstLineChars="200"/>
        <w:rPr>
          <w:rFonts w:ascii="仿宋_GB2312" w:hAnsi="楷体_GB2312" w:eastAsia="仿宋_GB2312" w:cs="楷体_GB2312"/>
          <w:color w:val="000000" w:themeColor="text1"/>
          <w:sz w:val="24"/>
          <w:szCs w:val="24"/>
        </w:rPr>
      </w:pP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 xml:space="preserve"> 为维护学校正常的研究生教育教学秩序和生活秩序，依据《中华人共和国高等教育法》、《普通高等学校学生管理规定》(教育部令第21号)及其他有关规定，结合我校研究生教育的实际情况，特制订本细则。本细则适用于本校按照国家招生政策和规定录取的接学历教育的全日制硕士研究生。</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第一章 入学与注册</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第一条 经本校录取的研究生新生（以下简称新生）持《浙江科技学院研究生入学通知书》，按本校新生报到须知要求在规定的期限到校办理入学手续。因故不能按时报到者，应当事先向学校研究生管理部门请假，请假期限为2周。未请假或请假逾期者，除因不可抗力等正当事由以外，视为放弃入学资格。超过学校规定的请假时间不能报到入学的新生，经本人申请并经所在二级学院同意，学校研究生管理部门批准后，可以保留入学资格，保留入学资格期限一般为一年。办理复学手续应在保留期最后一学期末提出申请，经所在二级学院同意，学校研究生管理部门批准后，重新办理新生入学手续。逾期不办理入学手续者，取消入学资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第二条 患有疾病的新生，经学校指定的二级甲等以上医院诊断不宜在校学习的，可以保留入学资格一年。在保留入学资格期内经治疗康复，可以在保留入学资格期限最后一学期末提出复学申请，并提交学校指定的二级甲等以上医院出具的诊断证明，经学校复查合格后，重新办理新生入学手续。复查不合格者，取消入学资格。保留入学资格者不具有学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第三条 新生报到后，各二级学院应当在三个月内按照国家招生规定对新生进行复查，复查内容包括入学资格、政治思想、道德品质、业务水平和健康状况，同时核查新生档案是否齐全、报到手续是否完备。复查不合格者，取消其学籍。凡属弄虚作假、徇私舞弊或其他不正当手段取得学籍者，一经查实，取消其学籍。情节恶劣的，提请有关部门查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第四条 每学期开学，研究生应当按学校规定时间到所在二级学院办理注册手续。因故不能按期注册者，应当履行暂缓注册手续。无正当理由超过规定期限2周未注册者，视为自动退学。未按学校规定缴纳学费或者其他不符合注册条件的不予注册。家庭经济困难的自费研究生可以申请助学贷款或其他形式资助，办理有关手续后注册。</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第二章 考核与请假</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第五条 研究生应当按照《浙江科技学院硕士研究生培养方案》的规定制订培养计划，参加教育教学计划规定的课程和各种教育教学环节的考核。考核成绩记入成绩册，并归入本人档案。考核不合格的课程给予一次补考机会。研究生考试违纪者，参照《浙江科技学院学生考试违规的认定与处理细则》（浙科院教〔2011〕16号）的有关条款进行处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第六条 研究生思想品德的考核、鉴定，应当以《高等学校学生行为准则》(教育部教学〔2005〕5号)为主要依据，采取个人小结、师生民主评议等形式进行。</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第七条 研究生应当按时参加教育教学计划规定的活动，不能按时参加者应当事先请假并获得批准。未经批准而缺席者，导师及管理人员应当对其批评教育，情节严重的给予纪律处分。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第八条 研究生请假应当办理请假手续。因病请假，在校期间凭学校医院证明；外出期间凭县级以上医院证明。请假2周以内，经导师同意，并由所在二级学院批准；请假2周以上，须再报学校研究生管理部门批准。一学期累计请假超过4周，应当办理休学手续。研究生未经请假，或请假未准而擅自离校，或请假期满未续假而逾期不返校者，均作旷课论处，参照《浙江科技学院学生违纪处分办法》的有关条款进行处理。</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第三章 转专业、转导师与转学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第九条 研究生原则上不能转学和转专业、转导师。个别因专业调整、导师变动或其他特殊情况必须转专业或者转导师者，由研究生本人申请，由转出、转入专业双方导师、学位点负责人及二级学院领导逐级签署意见，报学校研究生管理部门审批。</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第十条 研究生如患病或者确有特殊困难，无法继续在本校学习的，可以申请转学。研究生转学，应当经两校同意，由转出学校报浙江省教育厅确认，可以办理转学手续；跨省转学者由转出地省级教育行政部门商转入地省级教育行政部门，按转学条件确认后办理转学手续。须转户口的由转入地省级教育行政部门将有关文件抄送转入学校所在地公安部门。</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第十一条 研究生有下列情形之一，不得转学：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（一）入学未满一学期的；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（二）招生时确定为定向或委托培养的；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（三）应予以退学的；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（四）其他无正当理由的。</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第四章 休学与复学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第十二条 研究生因病或其他原因需中止一段时间学习者，可以申请休学。研究生有下列情况者，应当办理休学：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（一）一学期累计因病请假超过4周者；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（二）因病无法坚持学习，经医院诊断建议休学者；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（三）符合国家计划生育等有关政策的已婚女研究生妊娠、分娩及产后休息者；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（四）申请创业者；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（五）委培的研究生经原单位公派出国（境）留学者；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（六）其他原因不能注册者。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第十三条 研究生休学应当办理休学手续离校，学校保留其学籍。研究生休学期间，不享受在校学习研究生待遇。</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第十四条 研究生休学时间一般以1年为限。休学研究生应在休学期满的4周前向学校提出复学申请（因病休学，需经学校医院复查合格），经所在二级学院同意，学校研究生管理部门批准后，办理复学手续。</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第十五条 研究生应征参加中国人民解放军（含中国人民武装警察部队），学校保留其学籍至退役后1年。</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第五章 退 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第十六条 研究生有下列情形之一，应予以退学：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（一）在学校规定最长修业年限内（含休学）未完成学业的；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（二）休学期满后2周内未提出复学申请或申请复学经复查不合格的；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（三）经学校指定医院诊断，患有疾病或者意外伤残无法继续在校学习的；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（四）未请假离校连续2周未参加学校规定的教学活动的，或出国（境）未经学校批准延期2周以上而未归的；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（五）逾期2周未注册而又无正当事由的；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（六）未经学校同意，擅自到其他学校攻读学位；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（七）本人申请退学的。</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第十七条 对研究生的退学处理，由所在二级学院提出拟处理意见，先通知研究生本人，如无法联系到本人，在学校网页公布2周，视同已通知研究生本人。通知后2周内本人无异议的，处理意见报学校研究生管理部门。对研究生的退学处理，由学校院长办公会议研究决定。对退学的研究生，由学校研究生管理部门将退学决定文件送交本人，无法送交本人的，按法律规定方式送达。对退学的研究生，由学校报浙江省教育厅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第十八条 退学的研究生，应当在批准退学文件下发后15天内办理离校手续。对已有毕业学历和按就业政策可以就业者，由学校报浙江省毕业生就业部门办理相关手续；在3个月内没有被聘用的，档案、户口退回其家庭户籍所在地。</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第十九条 研究生对退学处理有异议的，参照《浙江科技学院学生校内申诉制度管理规定》办理申诉。</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第六章 学习年限、毕业、结业与肄业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第二十条 全日制硕士研究生基本学制为2.5～3年。最低修业年限为2年；硕士研究生在规定学制内不能完成学业的，可以申请延长学习年限，最长修业年限为5年（含休学）。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第二十一条 研究生在学校规定基本学制期限内，通过培养方案规定的课程和其他环节的考核，通过学位论文答辩，德、智、体达到毕业要求，准予毕业，由学校颁发毕 业证书。在基本学制年限内，研究生提前完成培养计划中规定的课程、必修环节及论文，成绩优秀，科研成果突出，由本人提出申请，经导师及所在二级学院主管领导同意，报学校研究生管理部门审核批准，可提前进行学位论文答辩。申请提前毕业，但不能低于学校规定的最低修业年限。在基本学制年限内，研究生因客观原因不能按期完成学习任务的，由本人提出申请，经导师及所在二级学院主管领导同意，报学校研究生管理部门审核批准，可延长学习年限，申请延期毕业，但不能超过学校规定的最高修业年限。经批准出国联合培养或合作科研的研究生，出国期间也算作在学时间。</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第二十二条 研究生通过培养方案规定的课程和其他环节的考核，但未通过学位论文答辩，准予结业，由学校发给结业证书。结业生经答辩委员会同意修改论文的，可在一年内向学校重新申请答辩一次，通过答辩者准予毕业，换发毕业证书，毕业时间从发证日期算起。</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第二十三条 毕业研究生符合《浙江科技学院硕士学位授予工作细则》有关规定的，学校为其颁发学位证书。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第二十四条 退学的研究生学习满一学年者，学校发给肄业证书；学习不满一年者，学校发给学习证明。被开除学籍的研究生，学校只发给学习证明。</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第二十五条 依据国家高等教育学历证书电子注册管理制度的规定，学校每年将颁发的毕（结）业证书信息报浙江省教育厅注册，并由浙江省教育厅报国务院教育行政部门备案。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第二十六条 对违反国家招生规定的入学者，学校不发学历证书、学位证书；已发的学历证书、学位证书，学校予以追回，上报浙江省教育厅及国务院教育行政部门并宣布证书无效。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第二十七条 研究生的学位、毕业、结业和肄业证书遗失或者损坏，经本人申请，学校核实后可以出具相应的证明。证明与原证书具有同等效力。</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第二十八条 毕业研究生要填写教育部统一制作的《毕业研究生登记表》，经学校业务鉴定和政治鉴定后加盖公章，存入研究生本人档案。</w:t>
      </w:r>
    </w:p>
    <w:p>
      <w:pPr>
        <w:spacing w:line="520" w:lineRule="exact"/>
        <w:ind w:firstLine="480" w:firstLineChars="200"/>
        <w:jc w:val="center"/>
        <w:rPr>
          <w:b/>
          <w:color w:val="000000" w:themeColor="text1"/>
          <w:sz w:val="24"/>
          <w:szCs w:val="24"/>
        </w:rPr>
      </w:pPr>
      <w:r>
        <w:rPr>
          <w:rFonts w:hint="eastAsia"/>
          <w:b/>
          <w:color w:val="000000" w:themeColor="text1"/>
          <w:sz w:val="24"/>
          <w:szCs w:val="24"/>
        </w:rPr>
        <w:t>第七章 附 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第二十九条 定向和委托培养研究生的学籍管理，除定向、委托合同另有规定外，按本细则执行。外国来华留学研究生在我校学习期间的学籍管理，按照国家和学校有关规定办理。留学生学历证明的发放按照教育部有关规定执行。</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第三十条 本细则解释权归属学校研究生管理部门。</w:t>
      </w:r>
    </w:p>
    <w:p>
      <w:pPr>
        <w:spacing w:line="520" w:lineRule="exact"/>
        <w:ind w:firstLine="480" w:firstLineChars="200"/>
        <w:jc w:val="left"/>
        <w:rPr>
          <w:color w:val="000000" w:themeColor="text1"/>
          <w:sz w:val="24"/>
          <w:szCs w:val="24"/>
        </w:rPr>
      </w:pPr>
    </w:p>
    <w:p>
      <w:pPr>
        <w:spacing w:line="520" w:lineRule="exact"/>
        <w:ind w:firstLine="480" w:firstLineChars="200"/>
        <w:jc w:val="center"/>
        <w:rPr>
          <w:rFonts w:ascii="方正小标宋简体" w:hAnsi="宋体" w:eastAsia="方正小标宋简体" w:cs="方正小标宋简体"/>
          <w:b/>
          <w:color w:val="000000" w:themeColor="text1"/>
          <w:sz w:val="30"/>
          <w:szCs w:val="30"/>
        </w:rPr>
      </w:pPr>
      <w:r>
        <w:rPr>
          <w:color w:val="000000" w:themeColor="text1"/>
          <w:sz w:val="24"/>
          <w:szCs w:val="24"/>
        </w:rPr>
        <w:br w:type="page"/>
      </w:r>
      <w:r>
        <w:rPr>
          <w:rFonts w:hint="eastAsia" w:ascii="方正小标宋简体" w:hAnsi="宋体" w:eastAsia="方正小标宋简体" w:cs="方正小标宋简体"/>
          <w:b/>
          <w:color w:val="000000" w:themeColor="text1"/>
          <w:sz w:val="30"/>
          <w:szCs w:val="30"/>
        </w:rPr>
        <w:t>浙江科技学院来华留学硕士研究生学籍管理规定</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浙科院外〔2016〕2号</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依照《高等学校接受来华留学生管理规定》（教育部令第 9 号）和教育部办公厅《关于试行高等学校来华留学生新生学籍和来华留学生学历证书电子注册的通知》（教外厅〔2007〕5 号）的要求，在《浙江科技学院研究生学籍管理实施细则（试行）》（浙科院研〔2012〕2 号）的基础上，针对来华留学生的具体情况，特制定来华留学硕士研究生（以下简称来华来华留学研究生）学籍管理规定。</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第一章 申请与注册</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第一条 申请者条件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（一）申请者应为品德良好、愿意遵守中国法律法规及学校规章制度、尊重中国人民风俗习惯的外籍人士；</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（二）申请者应具有国外或国内正规大学的学士学位；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（三）汉语授课专业的申请者应通过相应的汉语水平考试（HSK），其中申请理学、工学、经济学、管理学、艺术学专业的学生汉语应达到新 HSK 四级 180 分及以上水平，申请文学、教育学类专业的学生汉语应达到新 HSK 四级 240 分及以上水平或者新 HSK 五级 180 分及以上水平；</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（四）英语授课专业的申请者，母语或国家官方语言为非英语的需提供英语学习证明或水平证明；</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（五）英语和汉语双语授课专业的申请者，其英语要求参照第一条第四款执行，进入汉语授课课程前，汉语水平应达到第一条第三款的要求；</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（六）对于汉语水平未达到相应要求的学生，特作如下补充规定：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1.申请者如未能提供相应等级证书，应提供汉语学习的学时证明，经学校审核批准后可作为试读生入学；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2.试读生的课程安排和学费标准等同于正式研究生；</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3.试读期原则上为一年；</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4.试读生在试读期间获得与入学条件相符的HSK等级证书且取得学分超过所选课程学分 1/2 者，可以取得研究生学籍，学校承认其在试读期间所修的研究生课程学分；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5.试读期间未能获得与入学条件相符的HSK等级证书或取得学分不足所选课程学分的 1/2 者，作为高级进修生结业，不退还任何费用。</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第二条 申请者应提交的材料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（一）《浙江科技学院来华留学硕士研究生入学申请书》；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（二）经公证后的大学本科毕业证书及成绩单复印件，入学报到时需审查原件；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（三）应届大学本科毕业生由本人所在学校出具预期毕业证明，被录取后须补交大学本科毕业证书；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（四）汉语水平 HSK 证书；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（五）已在中国学习的学生，需出示原就读学校的结业证书或在读证明；</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（六）护照复印件；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（七）报名费缴纳证明。</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第三条 通过国家交流项目或校际交流项目来我校学习的联合培养来华来华留学研究生按交流协议办理申请手续。</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第四条 申请秋季入学的来华来华留学研究生应于每年 6 月 30 日前将申请材料报送或邮寄至留学生管理中心。来华来华留学研究生的录取方案由各相关二级学院、留学生管理中心共同拟定，待研究生处审核后，由留学生管理中心报分管校领导同意后，报省教育厅、省外办批准备案。留学生管理中心在 7 月底前向申请学生寄发入学通知书和有关签证申请材料，同时备案学籍。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第五条 被录取的来华来华留学研究生应在规定的时间内携带普通护照、录取通知书、外国留学人员来华签证申请表到留学生管理中心报到，按规定交纳相关费用。因故不能按时报到者，应事先向留学生管理中心书面请假，请假期限原则上不超过 2 周。未请假或请假逾期者，除遇不可抗力等因素外，视为放弃入学资格。超过学校规定的请假期限不能报到入学的新生，经本人申请并经相关二级学院同意、留学生管理中心批准后，可以保留入学资格，保留入学资格期限一般为一年。保留入学资格期间，不能获得我校学籍。学生应在保留期最后一学期末提出申请，经相关二级学院同意、留学生管理中心批准后，重新办理新生入学手续。逾期不办理入学手续者，取消入学资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第六条 新生报到后，留学生管理中心需在三个月内对新生入学资格、思想道德品质和健康状况进行复查，同时核查新生档案是否齐全、报到手续是否完备；各相关二级学院负责对新生专业学习水平进行复查。复查不合格者，取消其学籍。凡属弄虚作假、徇私舞弊或以其他不正当手段取得学籍者，一经查实，取消其学籍。情节恶劣的，报送有关部门查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第七条 新入学的来华来华留学研究生应按留学生管理中心规定的时间到指定医院进行体格检查，若在国外已体检，需办理体检认证手续。体格检查中发现有不符合入学健康标准规定的，取消入学资格。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第八条 来华来华留学研究生的研究生证和校徽由各相关二级学院统一发放。</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第九条 留学生管理中心和各相关二级学院应对来华来华留学研究生分别进行新生始业教育。留学生管理中心负责安全教育、法律法规和校纪校规学习、学生手册解读、图书馆利用等日常管理方面的教育；各相关二级学院负责本专业教学计划、教学大纲、学籍管理规定、研究生培养信息系统使用等有关教学方面的教育。研究生处负责组织及协调监督。</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第十条 来华来华留学研究生应在开学后两周内到留学生管理中心办理报到缴费手续，并到各相关二级学院办理学籍注册手续。因故不能按期注册者，应当履行暂缓注册手续。无正当理由超过规定期限 2 周未报到者，视为自动退学。未按学校规定缴纳学费或者其他不符合注册条件的不予注册。</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第二章 培养、考核和教学管理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第十一条 来华来华留学研究生原则上应按照《浙江科技学院硕士研究生培养方案》的规定修读所有课程，按要求参加考核并取得相应学分。根据来华留学生的特点，另作如下规定：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（一）中文授课的来华来华留学研究生的总学分最低要求与中国学生一致。中文授课的来华留学硕士研究生公共课程学分如不足，可用其他专业课程学分替代。</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（二）英文授课的来华来华留学研究生参照英文授课专业的培养计划执行。</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（三）《中国概况》为来华来华留学研究生的公共学位必修课。共计 2 个学分，32个学时，第一学年修完。本科学历阶段学过《中国概况》课程的来华来华留学研究生可申请免修，但需选修其他课程以补足学分。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（四）政治理论课为哲学、政治学和经济学类专业来华来华留学研究生的公共学位必修课，学分和学时根据其专业培养方案要求确定，其他专业的来华来华留学研究生免修。</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（五）来华来华留学研究生的第一外语为汉语，《汉语》为来华来华留学研究生的必修课，共计 4 学分，64 学时，第一学年修完。来华来华留学研究生可根据本人汉语水平在人文与国际教育学院选择相应的汉语课程。通过汉语水平考试（HSK）新五级 180 分及以上者可申请免听，直接参加期末考试或选修其他课程以补足学分。母语或国家官方语言为英语的来华来华留学研究生不能选修英语课程，母语或国家官方语言为非英语的来华来华留学研究生可自行选择是否选修英语课程。</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（六）来华来华留学研究生的专业课、选修课及课程考核以《浙江科技学院硕士研究生培养方案》为基本依据，结合各专业的实际需要加以实施。</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（七）来华来华留学研究生的各门课程考试成绩由硕士点所在二级学院录入到全校研究生培养信息系统中，实行规范化管理。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（八） 所有来华来华留学研究生都应在学校规定的时间内选择应读的课程并参加所有课程的考试或考查；考试课程的成绩按百分制记分（55 分为及格），考查课的成绩按五级制或百分制记分。百分制与五级制的转换关系如下：</w:t>
      </w:r>
    </w:p>
    <w:p>
      <w:pPr>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drawing>
          <wp:inline distT="0" distB="0" distL="114300" distR="114300">
            <wp:extent cx="6046470" cy="1045845"/>
            <wp:effectExtent l="0" t="0" r="11430" b="1905"/>
            <wp:docPr id="3" name="图片 3" descr="1528439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28439775(1)"/>
                    <pic:cNvPicPr>
                      <a:picLocks noChangeAspect="1"/>
                    </pic:cNvPicPr>
                  </pic:nvPicPr>
                  <pic:blipFill>
                    <a:blip r:embed="rId78"/>
                    <a:stretch>
                      <a:fillRect/>
                    </a:stretch>
                  </pic:blipFill>
                  <pic:spPr>
                    <a:xfrm>
                      <a:off x="0" y="0"/>
                      <a:ext cx="6046470" cy="1045845"/>
                    </a:xfrm>
                    <a:prstGeom prst="rect">
                      <a:avLst/>
                    </a:prstGeom>
                  </pic:spPr>
                </pic:pic>
              </a:graphicData>
            </a:graphic>
          </wp:inline>
        </w:drawing>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九）学生首次修读的课程成绩评定为不及格的，理论教学课程除规定不能补考外，学校提供一次补考机会；实践性课程/环节不及格的，则需根据实际情况补做、补考、补答辩。补考时间一般安排在课程开课学期的下一学期开学前两周进行。补考不合格者重修，需根据规定缴纳相应的重修费用。</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 相关二级学院认为留学生在该专业学习过程中可以免修或可以用其他学分代替某课程学分，应报研究生处，经研究生处同意后可确定为免修或用指定课程替代学分，并报留学生管理中心备案。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（十一） 来华来华留学研究生原则上不可以申请自修，但重修的课程与其他修读的课程有冲突时，可以向任课教师书面提出免听课申请，经任课教师同意并报相关二级学院和研究生处批准、留学生管理中心备案后，可通过自修方式完成课程学习，自修期间应按时交作业、做实验、参加考核。</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（十二） 来华来华留学研究生需要缓修或缓考的，在按照学校规定办理完审批手续后，由相关二级学院报留学生管理中心备案。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（十三） 使用外语接受研究生教育的来华留学生，毕业论文摘要用汉语撰写。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（十四） 由各二级学院开设的辅修、双学位课程可接收来华来华留学研究生，收费参照留学生学费标准。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第十二条 来华来华留学研究生如因病不能上课，应当持本校卫生所或二级甲等以上的医院证明请假。请假三天以内由导师批准报所在二级学院备案；三天以上、一周以内的由导师签署意见，相关二级学院分管研究生工作的副院长批准后报留学生管理中心备案；一周以上由导师签署意见，相关二级学院院长批准并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一学期累计请假超过 4 周，应当办理休学手续。未经请假，或请假未准而擅自离校，或请假期满未续假而逾期不返校者，均作旷课论处，参照《浙江科技学院学生违纪处分办法》的有关条款进行处理。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第十三条 承担来华来华留学研究生教学任务的二级学院负责其日常教学管理工作。</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各二级学院应重视对来华来华留学研究生的学习指导，包括选课、补考、重修、加修、缓考以及教务管理系统使用等指导，指派专人协助来华留学硕士研究生制定学习计划，关心留学生的日常学习生活，推荐品学兼优的学生与留学生结对子，帮助留学生克服困难，尽快适应研究生专业的学习。</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第十四条 来华来华留学研究生的考勤由任课教师执行并将考勤情况报所在二级学院，二级学院汇总后报留学生管理中心备案。对出勤率较差的学生，相关二级学院和留学生管理中心有责任对其进行批评教育。</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第十五条 来华来华留学研究生在国家教育行政部门的学籍注册和学历注册由留学生管理中心负责，其他一切教学活动的组织实施由各二级学院、研究生处共同负责。</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第三章 转专业、转导师与转学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第十六条 来华来华留学研究生原则上不能转学和转专业、转导师。个别因专业调整、导师变动或其他特殊情况必须转专业或者转导师者，由研究生本人申请，由转出、转入专业双方导师、学位点负责人及二级学院领导逐级签署意见，报研究生处审批，并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第十七条 来华来华留学研究生如患病或者确有特殊困难，无法继续在本校学习的，可以申请转学。来华来华留学研究生转学，经两校同意后办理转学手续。中国政府奖学金生转学、转专业由留学生管理中心书面上报国家留学基金管理委员会审批。</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第四章 休学、复学与退学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第十八条 来华留学硕士研究生因病或其他原因需中止一段时间学习者，可以申请休学。有下列情况者，应当办理休学：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（一）一学期因病请假累计超过 4 周者；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（二）因病无法坚持学习，经医院诊断建议休学者；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（三）已婚女研究生妊娠、分娩及产后休息者；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（四）其他原因不能注册者。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第十九条 来华来华留学研究生休学应当办理休学手续离校，经所在二级学院、留学生管理中心同意，研究生处批准后，学校保留其学籍。休学时间一般以 1 年为限。休学期间，不享受在校学习研究生待遇。休学的来华来华留学研究生一般应回国休养，往返路费和回国休养期间的医疗费用自理。享受奖学金的来华来华留学研究生休学期间其奖学金暂停发放。中国政府奖学金来华来华留学研究生休学由留学生管理中心书面上报国家留学基金管理委员会审批。</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第二十条 来华来华留学研究生应在休学期满的 4 周前向学校提出复学申请（因病休学，需经学校医院复查合格），经所在二级学院、留学生管理中心同意，研究生处批准后，办理复学手续。</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第二十一条 来华来华留学研究生有下列情形之一，应予以退学：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（一）本人申请退学；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（二）逾期 2 周未注册而又无正当事由者；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（三）在学校规定最长修业年限内（含休学）未完成学业者；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（四）休学期满未在规定时间提出复学申请或申请复学经复查不合格者；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（五）经学校指定医院诊断，患有疾病或者意外伤残无法继续在校学习者；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（六）未请假离校连续 2 周未参加学校规定的教学活动者；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（七）每学期旷课累计达 50 学时者；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（八）学生在读期间 2 次出现 1 学期所修学分不足应修学分 1/2 情况者。在第 1</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次出现该情况者，由二级学院向学生提出书面警告，并报留学生管理中心备案；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（九）未经学校同意，擅自到其他学校攻读学位者；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（十）严重违反校规校纪者；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（十一）在校期间有反华言行，情节严重者；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（十二）触犯中国法律并被中国司法机关处以拘留以上处罚者。</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第二十二条 对来华来华留学研究生的退学处理，由所在二级学院和留学生管理中心提出拟处理意见，先通知研究生本人，如无法联系到本人，在学校网页公布 2 周，视同已通知研究生本人。通知后 2 周内本人无异议的，处理意见报学校研究生处。对来华来华留学研究生的退学处理，由研究生处报学校院长办公会议研究决定。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对退学的来华来华留学研究生，由留学生管理中心将退学决定文件送交本人，无法送交本人的，按法律规定方式送达。退学的研究生，应当在批准退学文件下发 15 天内办理完离校手续。</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中国政府奖学金来华来华留学研究生退学由留学生管理中心书面上报国家留学基金管理委员会并通知其国家驻华使领馆。</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第二十三条 研究生对退学处理有异议的，参照《浙江科技学院学生校内申诉制度管理规定》办理申诉。</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第五章 学制、毕业、结业与肄业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第二十四条 来华来华留学研究生全日制硕士研究生基本学制为 2～3 年。在规定学制内不能完成学业的，可以申请延长学习年限，最长修业年限为 5 年（含休学）。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第二十五条 来华来华留学研究生在学校规定基本学制期限内，通过培养方案规定的课程和其他环节的考核，通过学位论文答辩，德、智、体达到毕业要求，准予毕业，由学校颁发毕业证书。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第二十六条 在基本学制年限内，来华来华留学研究生提前完成培养计划中规定的课程、必修环节及论文，成绩优秀，科研成果突出，由本人提出申请，经导师及所在二级学院主管领导同意，报学校研究生处审核批准，可提前进行学位论文答辩，申请提前毕业，但不能低于学校规定的最低修业年限。</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第二十七条 在基本学制年限内，来华来华留学研究生因故不能按期完成学习任务的，由本人提出申请，经导师、所在二级学院及留学生管理中心主管领导同意，报学校研究生处审核批准，可延长学习年限，申请延期毕业，但不能超过学校规定的最高修业年限。</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来华来华留学研究生申请延期毕业，应在既定毕业时间三个月之前办理有关手续。中国政府奖学金来华来华留学研究生延长学习期限由留学生管理中心书面上报国家留学基金管理委员会审批，经审批同意者在延长期限内继续享受原有待遇，免缴延期费；未获准同意者和自费来华来华留学研究生均应按照相应自费生收费标准缴纳相关费用。自费来华来华留学研究生如因本人原因申请延期毕业，应按相应学费标准缴纳延期费；如在规定时间内因导师或学院日程安排上的原因无法按时毕业而申请延期毕业者，免交延期费。</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第二十八条 根据校际交流协议或经学校批准，赴中国境外联合培养或开展科研合作的来华来华留学研究生，出国期间也算入在学时间。</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第二十九条 来华来华留学研究生通过培养方案规定的课程和其他环节的考核，但未通过学位论文答辩，准予结业，由学校发给结业证书。结业生经答辩委员会同意修改论文的，可在一年内向学校重新申请答辩一次，通过答辩者准予毕业，换发毕业证书，毕业时间从发证日期算起。</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第三十条 毕业的来华来华留学研究生符合《浙江科技学院硕士学位授予工作细则》（浙科院研〔2012〕6 号）有关规定的，学校为其颁发学位证书。</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第三十一条 退学的来华来华留学研究生学习满一学年者，学校发给肄业证书；学习不满一年者，学校发给学习证明。因严重违反校纪校规或触犯中国法律等原因而被开除学籍的研究生，学校只发给学习证明。</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第三十二条 依据国家高等教育学历证书电子注册管理制度规定，学校每年将颁发的毕（结）业证书信息报浙江省教育厅注册，并由浙江省教育厅报国务院教育行政部门备案。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第三十三条 对违反招生规定的入学者，学校不发学历证书、学位证书；已发的学历证书、学位证书，学校予以追回，上报浙江省教育厅及国务院教育行政部门并宣布证书无效。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第三十四条 来华来华留学研究生的学位、毕业、结业和肄业证书遗失或者损坏，经本人申请，学校核实后可以出具相应的证明。证明与原证书具有同等效力。</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第三十五条 各相关二级学院负责将毕业、结业、肄业与申请学位的来华来华留学研究生名单一起书面上报研究生处审批，并报留学生管理中心备案。</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来华来华留学研究生的学位证书由各相关二级学院负责申报，学位证书、毕业证书、结业证书、肄业证书中英文各一份由研究生处统一印制，各相关二级学院负责发放。来华来华留学研究生的成绩单由二级学院出具，研究生处审核盖章。</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来华来华留学研究生的中文学位证书、中文成绩单的复印件、学位论文由各相关二级学院汇总交学校档案馆存档。</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第三十六条 学生毕业资格和学位资格由各相关二级学院审核，报研究生处审定。</w:t>
      </w:r>
    </w:p>
    <w:p>
      <w:pPr>
        <w:spacing w:line="520" w:lineRule="exact"/>
        <w:ind w:firstLine="480" w:firstLineChars="200"/>
        <w:jc w:val="center"/>
        <w:rPr>
          <w:rFonts w:ascii="仿宋_GB2312" w:hAnsi="楷体_GB2312" w:eastAsia="仿宋_GB2312" w:cs="楷体_GB2312"/>
          <w:b/>
          <w:bCs/>
          <w:color w:val="000000" w:themeColor="text1"/>
          <w:sz w:val="24"/>
          <w:szCs w:val="24"/>
        </w:rPr>
      </w:pPr>
      <w:r>
        <w:rPr>
          <w:rFonts w:hint="eastAsia" w:ascii="仿宋_GB2312" w:hAnsi="楷体_GB2312" w:eastAsia="仿宋_GB2312" w:cs="楷体_GB2312"/>
          <w:b/>
          <w:bCs/>
          <w:color w:val="000000" w:themeColor="text1"/>
          <w:sz w:val="24"/>
          <w:szCs w:val="24"/>
        </w:rPr>
        <w:t>第六章 附则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第三十七条 本规定自学校发文之日起执行，由研究生处会同留学生管理中心负责解释。原《浙江科技学院外国来华留学硕士研究生学籍管理规定》(试行)（浙科院办发〔2014〕15 号）同时废止。未尽事宜按照《浙江科技学院硕士研究生学籍管理实施细则（试行）》（浙科院研〔2012〕2 号）执行。</w:t>
      </w:r>
      <w:r>
        <w:rPr>
          <w:rFonts w:hint="eastAsia" w:ascii="仿宋_GB2312" w:hAnsi="楷体_GB2312" w:eastAsia="仿宋_GB2312" w:cs="楷体_GB2312"/>
          <w:color w:val="000000" w:themeColor="text1"/>
          <w:sz w:val="24"/>
          <w:szCs w:val="24"/>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浙江科技学院研究生培养督导工作规定（试行）</w:t>
      </w:r>
    </w:p>
    <w:p>
      <w:pPr>
        <w:spacing w:line="520" w:lineRule="exact"/>
        <w:ind w:firstLine="480" w:firstLineChars="200"/>
        <w:rPr>
          <w:rFonts w:ascii="仿宋_GB2312" w:hAnsi="楷体_GB2312" w:eastAsia="仿宋_GB2312" w:cs="楷体_GB2312"/>
          <w:color w:val="000000" w:themeColor="text1"/>
          <w:sz w:val="24"/>
          <w:szCs w:val="24"/>
        </w:rPr>
      </w:pP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为进一步深化研究生培养改革，加强研究生培养督导工作，提高研究生培养质量和管理水平，完善研究生培养管理制度，规范研究生培养工作程序，特制订本督导工作规定。</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第一条 浙江科技学院研究生培养督导组（以下简称“校研究生培养督导组”）是校研究生处下设的工作机构，对主管研究生工作的校长负责。其任务是对研究生培养工作进行监督、检查、评估、审议和指导，及时反馈培养工作信息，为学校领导和研究生处提供决策咨询。</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第二条 研究生处根据工作需要和培养点分布，组织选拔聘任校研究生培养督导组成员，并报校长办公会议审定，任期2年，可连聘连任。</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第三条 校研究生培养督导组设组长1名，根据需要可设副组长1名，并兼任督导组秘书，研究生处设指定联系人1名。</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第四条 校研究生培养督导组成员的基本条件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 热爱教育事业，有高度的责任感和事业心，具有敬业奉献精神和团结协作精神，作风正派，秉公办事，治学严谨，为人师表。</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 长期从事教学和研究工作，教学经验丰富，科研能力强，有威望，身体健康。</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 熟悉研究生改革动态和研究生管理规章制度，独立工作能力强。</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 具有副高级以上专业技术职称,具有硕导资格。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第五条 校研究生培养督导组的主要工作职责</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（一）研究生各培养环节的监督与检查</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1．对研究生培养方案及课程设置情况进行审核和指导。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2．对课程教学和教风学风实行监督，监督内容包括：</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（1）课程管理。主要了解二级学院每学期课程安排（课程表）的实际执行情况，教师能否按时上课，有无任意调课现象。</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（2）课堂纪律。检查研究生能否按时到课，到课率情况，听课质量，课堂教学进程中有无违纪现象。</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（3）教学态度。主要考察教师对课堂教学的责任心，授课情况，育人情况。</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（4）教学内容。对所听课程的教学内容从宏观上做出恰当的评价。例如课程的内容是否与培养方案的要求一致，是否按教学大纲的内容和要求来组织教学，能否理论联系实际，启发研究生的创新意识等。</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（5）教学方法。主要考察教师在课堂教学中能否采取启发式教学方法，调动研究生积极思考，鼓励研究生参与教学过程的情况以及教师在课堂上应用现代化教学手段的效果等。</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（6）教学效果。认真听取研究生对本次课或本门课的总体反映，从中了解教师的教学效果和学生的需求。</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（7）课程考核。在每学期末检查课程考核情况,包括考核方式、考场纪律、成绩评定和登记等。</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3．对研究生开展学术报告和参加教学实践等情况进行检查。</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4. 对中期检查、开题报告等研究生培养重要环节的实施过程进行监控。</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5．对学位论文进展情况进行督查。检查各二级学院是否按要求规范研究生学位论文工作，包括社会调查、论文阶段性进展报告等环节以及进入答辩所需公开发表的论文或完成的发明专利等先决条件是否具备。</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6．对学位论文答辩进行督查。检查各二级学院是否按规定组织论文评阅和审核学位论文答辩申请，答辩过程是否遵照应有的程序和规则。</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7．对学位授予进行督查。检查各二级学院是否按规定组织二级学院学位评定分委员会会议，根据研究生毕业答辩情况，公平、公正、认真审查，学位授予过程是否遵守应有的程序。</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（二）研究生培养质量调查与咨询。调查了解二级学院研究生培养质量，对研究生培养工作提出咨询与建议。</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三）研究生处和督导组组长每学期初组织召开督导组全体成员会议，制定本学期督导工作计划。学期末召开督导组工作总结会，督导组组长向研究生处提交督导组督导工作总结报告。日常工作中发现问题应及时与研究生处或二级学院沟通。听课表与巡查报告等相关文档材料要汇总并存档。</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第六条 各学科所在二级学院对校研究生培养督导组的工作要给予支持、配合，重视校研究生培养督导组的意见和建议。各二级学院如对校研究生培养督导组意见有异议，可在收到校研究生培养督导组意见10个工作日内向校研究生培养督导组或研究生处提出申诉。</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第七条 各二级学院参照本规定成立二级学院研究生培养督导小组，开展本单位的研究生培养督导工作并接受校研究生培养督导组的工作指导。</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第八条 学校对校研究生培养督导组给予经费上的支持，对于其成员给予相应的教学工作量补贴和津贴，发放标准参照本科教学督导相关发放规定，对于校外聘请专家的津贴适当高于校内专家。</w:t>
      </w:r>
    </w:p>
    <w:p>
      <w:pPr>
        <w:spacing w:line="520" w:lineRule="exact"/>
        <w:ind w:firstLine="480" w:firstLineChars="200"/>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第九条 本规定自公布之日起实施,由校研究生处负责解释。</w:t>
      </w:r>
    </w:p>
    <w:p>
      <w:pPr>
        <w:spacing w:line="520" w:lineRule="exact"/>
        <w:ind w:firstLine="480" w:firstLineChars="200"/>
        <w:rPr>
          <w:rFonts w:ascii="仿宋_GB2312" w:hAnsi="楷体_GB2312" w:eastAsia="仿宋_GB2312" w:cs="楷体_GB2312"/>
          <w:color w:val="000000" w:themeColor="text1"/>
          <w:sz w:val="24"/>
          <w:szCs w:val="24"/>
        </w:rPr>
      </w:pPr>
    </w:p>
    <w:p>
      <w:pPr>
        <w:spacing w:line="520" w:lineRule="exact"/>
        <w:ind w:firstLine="480" w:firstLineChars="200"/>
        <w:rPr>
          <w:rFonts w:ascii="仿宋_GB2312" w:hAnsi="楷体_GB2312" w:eastAsia="仿宋_GB2312" w:cs="楷体_GB2312"/>
          <w:color w:val="000000" w:themeColor="text1"/>
          <w:sz w:val="24"/>
          <w:szCs w:val="24"/>
        </w:rPr>
      </w:pPr>
    </w:p>
    <w:p>
      <w:pPr>
        <w:spacing w:line="520" w:lineRule="exact"/>
        <w:ind w:firstLine="480" w:firstLineChars="200"/>
        <w:jc w:val="right"/>
        <w:rPr>
          <w:rFonts w:ascii="仿宋_GB2312" w:hAnsi="楷体_GB2312" w:eastAsia="仿宋_GB2312" w:cs="楷体_GB2312"/>
          <w:color w:val="000000" w:themeColor="text1"/>
          <w:sz w:val="24"/>
          <w:szCs w:val="24"/>
        </w:rPr>
      </w:pPr>
      <w:r>
        <w:rPr>
          <w:rFonts w:hint="eastAsia" w:ascii="仿宋_GB2312" w:hAnsi="楷体_GB2312" w:eastAsia="仿宋_GB2312" w:cs="楷体_GB2312"/>
          <w:color w:val="000000" w:themeColor="text1"/>
          <w:sz w:val="24"/>
          <w:szCs w:val="24"/>
        </w:rPr>
        <w:t>浙江科技学院院长办公室 2015年11月23日印发</w:t>
      </w:r>
    </w:p>
    <w:p>
      <w:pPr>
        <w:spacing w:line="520" w:lineRule="exact"/>
        <w:ind w:firstLine="480" w:firstLineChars="200"/>
        <w:rPr>
          <w:rFonts w:ascii="仿宋_GB2312" w:hAnsi="Times New Roman" w:eastAsia="仿宋_GB2312" w:cs="仿宋_GB2312"/>
          <w:color w:val="000000" w:themeColor="text1"/>
          <w:sz w:val="24"/>
          <w:szCs w:val="24"/>
        </w:rPr>
      </w:pPr>
    </w:p>
    <w:p>
      <w:pPr>
        <w:rPr>
          <w:color w:val="000000" w:themeColor="text1"/>
          <w:sz w:val="24"/>
          <w:szCs w:val="24"/>
        </w:rPr>
      </w:pPr>
    </w:p>
    <w:p>
      <w:pPr>
        <w:widowControl/>
        <w:jc w:val="left"/>
        <w:rPr>
          <w:b/>
          <w:bCs/>
          <w:color w:val="000000" w:themeColor="text1"/>
          <w:sz w:val="32"/>
          <w:szCs w:val="32"/>
        </w:rPr>
      </w:pPr>
      <w:r>
        <w:rPr>
          <w:b/>
          <w:bCs/>
          <w:color w:val="000000" w:themeColor="text1"/>
          <w:sz w:val="32"/>
          <w:szCs w:val="32"/>
        </w:rPr>
        <w:br w:type="page"/>
      </w:r>
    </w:p>
    <w:p>
      <w:pPr>
        <w:widowControl/>
        <w:jc w:val="left"/>
        <w:rPr>
          <w:b/>
          <w:bCs/>
          <w:color w:val="000000" w:themeColor="text1"/>
          <w:sz w:val="32"/>
          <w:szCs w:val="32"/>
        </w:rPr>
      </w:pPr>
    </w:p>
    <w:p>
      <w:pPr>
        <w:jc w:val="center"/>
        <w:rPr>
          <w:b/>
          <w:bCs/>
          <w:color w:val="000000" w:themeColor="text1"/>
          <w:sz w:val="32"/>
          <w:szCs w:val="32"/>
        </w:rPr>
      </w:pPr>
      <w:r>
        <w:rPr>
          <w:rFonts w:hint="eastAsia"/>
          <w:b/>
          <w:bCs/>
          <w:color w:val="000000" w:themeColor="text1"/>
          <w:sz w:val="32"/>
          <w:szCs w:val="32"/>
        </w:rPr>
        <w:t>5.学位论文撰写与答辩制度</w:t>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浙江科技学院硕士研究生中期考核实施办法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根据教育部《关于改进和加强研究生工作的通知》精神，为提高我校研究生的培养质量，完善研究生培养机制，决定在研究生课程学习阶段结束后,对硕士研究生进行中期考核。</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一、考核目的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中期考核是在研究生课程学习基本结束后，进入学位论文写作之初，对其政治思想表现、课程学习和科研能力等方面进行的一次综合考核和评定。其目的是评价研究生入学以来的学习成效，及时发现研究生培养过程中存在的问题，使品学兼优的人才脱颖而出、健康成长；使绝大多数研究生毕业时能达到《中华人民共和国学位条例》中规定的要求，对少数不宜继续攻读硕士学位者尽早做出妥善处理。</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二、中期考核时间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中期考核一般在第三学期内完成，最迟在第四学期开学前两周。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如因特殊原因无法按时参加中期考核，应事先提出书面申请，经导师签署意见，所在二级学院主管研究生教育的领导审核，报研究生处审批同意后方可允许延期，但必须参加本二级学院1个月之后的补考核工作，并不得再延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已办理休（停）学手续的研究生，中期考核与低一年级研究生同期进行。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拟提前毕业的研究生，必须提前参加上一年级研究生的中期考核，未参加中期考核的研究生，不得参加毕业论文开题和答辩。</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三、中期考核组织领导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1.各二级学院分管研究生工作的负责人全面负责研究生中期考核工作。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2.各二级学院按学位点成立研究生中期考核小组，负责本学位点研究生的中期考核工作。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3.研究生中期考核小组成员名单须报研究生处备案。</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四、中期考核内容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思想政治表现：主要从研究生政治素质（热爱祖国，拥护国家方针、政策，政治上积极进取）、治学态度（勤奋好学，刻苦钻研，具有进取和敬业精神）、道德修养（社会公德，尊敬师长，作风正派）、集体观念（关心集体，有团结合作精神）、组织纪律（遵纪守法，遵守各项规章制度）等方面考核研究生品行是否达到研究生培养目标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课程学习成绩：主要考核研究生入学以来执行培养方案情况，所修各门课程的成绩和完成学分情况。若有学位必修课程成绩不合格，或未完成各教学计划中规定的应修学分的情况，需特别注明。文献选读作为中期考核检查的一部分，中期考核通过后再进行开题报告工作。文献选读与开题报告这个学分在中期考核通过后完成开题报告才能获得。</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3.科研和社会实践：着重考核研究生发表论文情况、获奖情况、从事科学研究工作的能力或潜力，以及参加社会实践情况。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4.身心状况：考核研究生身体和心理健康状况，是否可以继续从事论文阶段的研究工作。</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五、中期考核步骤和要求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1.实行研究生中期考核制度是确保我校研究生培养质量的重要措施，是培养过程中的重要环节，各二级学院领导、学科、导师要认真对待，精心组织，坚持标准，客观、公正地评价，同时切实做好思想政治工作。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2.各学位点所在二级学院应召集各研究生中期考核小组、导师、研究生及其他相关人员，组织落实研究生中期考核要求及实施方案。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3.学生必须认真写出个人总结，个人总结不少于1000字。进行个人总结时要求实事求是地对自己入学以来的表现进行全面的回顾和总结，写出自己的成绩、体会及不足之处，还应明确自己的努力方向。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研究生填写《硕士研究生中期考核表》，研究生秘书审核个人培养计划是否符合学科培养方案要求，考核学生的课程学习、必修环节、科研实践等执行情况，经秘书、导师、研究生中期考核小组、二级学院审核、评价，二级学院应对学生是否适合进入论文阶段给出明确意见，由二级学院将《硕士研究生中期考核结果汇总表》(见附表1)报研究生处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5.中期考核合格者方可进入研究生学位论文研究环节；对思想品德差，学习成绩达不到硕士生要求或明显缺乏科研能力的不宜继续攻读学位者，则终止学业，推荐就业。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6.《硕士研究生中期考核表》最后归入档案。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7.各二级学院可根据本办法制定研究生中期考核具体细则。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六、本办法自发布之日起执行，由学校研究生处负责解释。</w:t>
      </w:r>
    </w:p>
    <w:p>
      <w:pPr>
        <w:jc w:val="center"/>
        <w:rPr>
          <w:b/>
          <w:bCs/>
          <w:color w:val="000000" w:themeColor="text1"/>
          <w:sz w:val="32"/>
          <w:szCs w:val="32"/>
        </w:rPr>
      </w:pPr>
    </w:p>
    <w:p>
      <w:pPr>
        <w:spacing w:line="600" w:lineRule="exact"/>
        <w:jc w:val="center"/>
        <w:rPr>
          <w:rFonts w:ascii="方正小标宋简体" w:hAnsi="宋体" w:eastAsia="方正小标宋简体" w:cs="方正小标宋简体"/>
          <w:b/>
          <w:color w:val="000000" w:themeColor="text1"/>
          <w:sz w:val="30"/>
          <w:szCs w:val="30"/>
        </w:rPr>
      </w:pPr>
      <w:r>
        <w:rPr>
          <w:rFonts w:hint="eastAsia"/>
          <w:color w:val="000000" w:themeColor="text1"/>
        </w:rPr>
        <w:t>    </w:t>
      </w:r>
      <w:r>
        <w:rPr>
          <w:rFonts w:hint="eastAsia" w:ascii="方正小标宋简体" w:hAnsi="宋体" w:eastAsia="方正小标宋简体" w:cs="方正小标宋简体"/>
          <w:b/>
          <w:color w:val="000000" w:themeColor="text1"/>
          <w:sz w:val="30"/>
          <w:szCs w:val="30"/>
        </w:rPr>
        <w:t>浙江科技学院硕士研究生文献选读与开题报告工作实施办法（试行）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为了保证硕士研究生学位论文质量，规范管理，进一步做好文献选读工作及开题报告等事项，特制定本办法。</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第一条 文献选读</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（一）文献选读旨在培养硕士研究生查阅文献和了解综合国内外相关研究方向的历史、现状和发展趋势的能力，为硕士研究生的学位论文选题提供必要依据。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硕士研究生应在导师指导下，结合研究方向及论文选题范围，有目标、有系统地调查研究，详尽收集资料。在进入学位论文阶段前，充分阅读相关的中外文文献量不少于30篇，其中理工科外文资料文献不少于15篇，并尽可能选读最新论文成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文献选读的考核办法：由硕士研究生写出不少于5000字的《浙江科技学院硕士研究生文献综述报告》（附件1）交导师审阅，同时需填写《浙江科技学院硕士研究生文献选读考核表》（附件2）。考核表经导师评阅、写出评语、评定成绩后，送交所在二级学院。二级学院将相关资料作为研究生的学习档案予以封存保管，研究生处将组织专家进行抽查。各二级学院需将《浙江科技学院硕士研究生文献选读考核结果汇总表》（附件4）按时报送研究生处。</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第二条 学位论文选题要求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（一）选题应对经济建设、社会发展或在学术理论上有实际意义；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（二）选题应尽量结合导师及相关单位的科研任务进行；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（三）选题应具有一定先进性、创新性；</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（四）选题的难易程度和工作量要适当，既要考虑论文工作的时间性，通过努力，能在规定时间内完成论文的撰写工作，也要考虑到实验、计算、测试、加工、研究经费、指导力量等条件。</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第三条 开题报告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开题报告撰写要遵守学术道德和学术规范，对国内外研究现状和发展趋势了解清晰，着眼于学术创新，通过查重，避免重复研究，导师要对开题报告进行指导和把关。</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为了保证学位论文质量，在论文开题报告前，研究生须向二级学院提出论文开题报告申请并递交以下材料：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（一）硕士研究生文献选读考核表；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（二）参加科技工作情况；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（三）科研成果与论文发表情况；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（四）硕士研究生中期考核情况；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（五）《浙江科技学院硕士研究生学位论文开题考核表》（附件3），其中开题报告正文部分的字数一般不得少于3000字。</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开题报告评审会议由二级学院按研究方向组织进行，本学科和相关学科5名以上的专家组成评议组，首先由研究生做不少于15分钟的前期研究和开题报告的陈述，与会的评议组专家审阅开题报告后给出评议意见（选题是否合适、内容及深度是否恰当等），开题报告和评审意见报所在二级学院审核，相关资料作为研究生的学习档案保存，研究生处组织专家抽查。</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第四条 完成时间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（一）开题报告一般须在第三学期内完成，特殊情况最迟需在第四学期开学后四周内完成。</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（二）各二级学院将《浙江科技学院硕士研究生开题报告考核结果汇总表》（附件5）报送研究生处。</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第五条 其它要求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对研究方案无设想，没有完成开题报告，或连续2次开题报告 （第2次报告时间不迟于第4学期的6月底）未能通过者，考核视同不合格，二级学院应将其作为“毕业困难提醒研究生”上报研究生处。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对于考核不合格者、不宜继续攻读硕士学位者，则终止其学业，推荐其就业。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论文选题一经确定，不得随意改变。如因特殊原因确需修改学位论文选题的，须提出申请，原则上要重新进行开题评审。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本规定自公布之日起执行，由学校研究生处负责解释。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rPr>
          <w:color w:val="000000" w:themeColor="text1"/>
        </w:rPr>
      </w:pP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浙江科技学院硕士学位授予工作细则</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 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根据《中华人民共和国学位条例》和《中华人民共和国学位条例暂行实施办法》有关规定，结合我校硕士学位授予工作的实际情况，制定本工作细则。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学校根据国家规定的学科门类或专业学位类别授予硕士学位。</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第二章   学位评定委员会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学校设立校学位评定委员会，二级学院设立学位评定分委员会。校学位评定委员会履行有关硕士学位评定的以下职责：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（一）审查通过申请硕士学位的人员名单；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（二）作出授予硕士学位的决定；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（三）作出撤销有违反规定但已授予学位的决定；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（四）研究和处理授予学位的争议事项；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（五）研究与授予硕士学位有关的其他重大事项。 </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第四条  二级学院学位评定分委员会履行有关硕士学位评定的以下职责： </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（一）审查本部门有关研究生招生计划及培养方案；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（二）审查指导教师是否具备培养硕士研究生的能力；</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（三）审查有关学科申报学位授予权的材料；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 审查硕士研究生政治思想情况，是否完成培养方案，所学主要课程是否符合本学科研究生培养方案要求，确定是否同意进行论文答辩，提出答辩委员会名单；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（五）提出关于授予硕士学位的建议；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（六）审议有关授予硕士学位的其他事项。</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第三章   学位申请人资格审查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拥护中国共产党的领导，拥护社会主义制度；热爱祖国，积极为社会主义现代化建设服务；具有良好的道德品质，遵纪守法；学术水平达到本细则规定者，均可申请相应的学位。但未经学校同意，申请人不得擅自同时向两个学位授予单位提出学位申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硕士研究生完成个人培养方案的各项要求，达到本细则规定的学位授予条件者，经二级学院学位评定分委员会审核，学校研究生管理部门复审后，确定硕士学位获得者名单，并报校学位评定委员会审定及上级主管部门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研究生在申请学位时，应提交申请书、课程考试成绩、导师评语和学位论文等材料。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有下列情况之一者，不授予硕士学位：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（一）研究生作结业处理者；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（二）学位论文或发表学术论文有抄袭、造假等严重作弊行为者；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（三）有不符合学校其他相关规定者。</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第四章   学位学术水平的要求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授予硕士学位的要求。硕士研究生按培养方案要求修完全部课程，达到课程和研究成果要求，完成硕士学位论文并通过论文答辩，达到下述水平者，授予硕士学位：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    （一）掌握马克思主义基本理论；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（二）掌握本学科的坚实基础理论和系统专门知识；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（三）硕士学位论文对所研究的课题有新的见解，具有从事科学研究、教学工作或独立担负专门技术工作的能力，并达到学校学位论文有关规定的要求；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（四）掌握一门外国语，比较熟练地阅读本专业的外文资料。</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第五章  学位申请程序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硕士学位申请程序：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（一）导师对学位申请人的学位论文进行审定。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（二）学位点对申请人的学位论文组织预答辩，并对课程学习和考试成绩、论文水平等进行全面审核，认为达到学位授予条件时，方可同意申请。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（三）学位申请人在通过预答辩以后，将学位论文按照评审要求，送交各二级学院。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学位论文通过评审后，由研究生本人填写学位论文答辩申请表，连同学位论文、学位申请表，以及研究生在读期间发表的学术论文等有关材料一同报学位点所在二级学院学位评定分委员会。经二级学院学位评定分委员会审核、学校研究生管理部门复审后，方可进行答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（五）由二级学院学位评定分委员会提名组建论文答辩委员会，举行学位论文答辩会。经全体成员无记名投票表决，三分之二以上同意，方可通过。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通过学位论文答辩者，由二级学院学位评定分委员会审核、学校研究生管理部门复核，报校学位评定委员会审定及上级主管部门备案。二级学院学位评定分委员会审核、校学位评定委员会审定均须举行会议，以无记名投票方式表决，须经应到会全体成员过半数通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对已办理毕业手续但未取得硕士学位的毕业研究生，毕业后2年内如达到学校学位授予条件，经学校学位评定委员会讨论通过，可补授其硕士学位。</w:t>
      </w:r>
    </w:p>
    <w:p>
      <w:pPr>
        <w:adjustRightInd w:val="0"/>
        <w:snapToGrid w:val="0"/>
        <w:spacing w:line="520" w:lineRule="exact"/>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第六章  学位论文评审与答辩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硕士学位论文在答辩前，均应聘请校内外专家进行评阅。评阅人由学校聘请，论文由二级学院组织送审。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评阅人应对学位论文写出详细的学术评语，同时对论文可否提交答辩，是否达到该生所申请学位的学术水平，提出具体意见。专家的评阅书，应在答辩前送答辩委员会。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硕士学位论文的答辩应在答辩委员会主持下以公开方式举行。答辩委员会必须坚持实事求是的科学态度，客观公正，按照学术标准严格把关，以确保学位授予质量。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硕士学位论文评阅和答辩的具体要求按学校关于研究生学位论文评阅及答辩工作的相关规定执行。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第七章 其 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同意授予学位者由学校颁发学位证书。证书的填发日期以学校学位评定委员会审定之日为准。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第十五条  本细则由学校研究生管理部门负责解释。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rPr>
          <w:color w:val="000000" w:themeColor="text1"/>
        </w:rPr>
      </w:pPr>
    </w:p>
    <w:p>
      <w:pPr>
        <w:rPr>
          <w:color w:val="000000" w:themeColor="text1"/>
        </w:rPr>
      </w:pPr>
    </w:p>
    <w:p>
      <w:pPr>
        <w:rPr>
          <w:color w:val="000000" w:themeColor="text1"/>
        </w:rPr>
      </w:pP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浙江科技学院研究生学位论文评阅及答辩工作暂行规定</w:t>
      </w:r>
    </w:p>
    <w:p>
      <w:pPr>
        <w:pStyle w:val="20"/>
        <w:spacing w:before="150" w:beforeAutospacing="0" w:after="0" w:afterAutospacing="0"/>
        <w:ind w:left="150"/>
        <w:jc w:val="center"/>
        <w:rPr>
          <w:color w:val="000000" w:themeColor="text1"/>
        </w:rPr>
      </w:pPr>
      <w:r>
        <w:rPr>
          <w:rStyle w:val="23"/>
          <w:rFonts w:hint="eastAsia" w:cs="微软雅黑"/>
          <w:color w:val="000000" w:themeColor="text1"/>
        </w:rPr>
        <w:t>第一章 总 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为加强对我校研究生学位论文评阅和答辩工作的管理，规范学位论文评阅和答辩工作，保证学位论文答辩和学位授予质量，特制定本规定。</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第二条 凡攻读本校学术型硕士学位的研究生，在学制规定的年限内，完成培养计划要求的各个培养环节，成绩合格，学分和学术成果达到相应要求，均按本规定申请进行学位论文答辩。</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第二章 学术成果业绩要求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符合下述条件之一的学术型硕士学位研究生，方可申请论文答辩。</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1.在正式出版核心以上学术期刊上发表(含录用)与其学科有关的专业学术论文1篇以上；（ 核心期刊参照“北京大学图书馆中文核心期刊目录”）</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2.获与其学科有关的授权发明专利1项以上。</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3.由导师递交研究生可以申请论文答辩的充足理由书面报告，经所在二级学院学位评定分委员会投票表决通过。</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第四条 以上所有研究成果均须以浙江科技学院为第一署名单位，研究生为第一或者第二完成人（第一完成人为该研究生之导师）。</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第三章 学位论文答辩申请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研究生申请硕士学位论文答辩，应填写“浙江科技学院硕士学位申请书”，与学位论文一并递交导师审阅。</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第六条 申请人在攻读学位期间，完成课程学习和学位论文，学位论文水平已达到培养目标的要求，学术成果达到本规定的要求，由所在二级学院对申请人的论文答辩资格进行审核，并准备相关答辩材料。</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第七条 申请人在攻读硕士学位期间，完成课程学习和学位论文，学位论文水平已达到培养目标的要求，但其学术成果尚未达到本规定的要求，经本人申请、导师推荐，二级学院学位评定分委员会审核同意，报学校研究生处备案后，可申请进行学位论文答辩。通过学位论文答辩者，可以向所在二级学院申请毕业并参加就业，但其硕士学位授予的申请需延至学术成果达到相应要求后。</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第四章 学位论文评阅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硕士学位论文评阅应在论文答辩前1个月内进行，由二级学院学位评定分委员会审核推荐至少2位与论文所属学科相同且相当副教授以上职称的专家为论文评阅人，其中1位必须是校外专家。</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第九条 硕士学位论文评阅人应对论文写出详细的学术评语，同时对论文是否已达学术型硕士学位的学术水平，能否参加答辩提出具体意见。评阅人可参考以下几个方面对论文进行评议：</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（一）论文选题是否具有一定理论意义和实用价值；</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（二）作者对基础理论和专业知识掌握的程度，研究方法的科学性及实验技能水平的高低；</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（三）论据是否充分可靠，论文有无新内容、新方法、新见解；</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（四）论文写作是否科学规范，逻辑性及文字表达能力如何，文献引用情况等；</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（五）论文存在的主要问题和不足之处，以及相应修改意见。</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第十条 硕士学位论文经评阅，若2位评阅专家同时持否定意见，本次答辩申请程序终止；若其中1位评阅专家持否定意见，需增聘1位评阅人对论文进行评阅。若增聘评阅专家也持否定意见，则本次答辩申请程序终止。</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第十一条 评阅意见返回后，送审单位需专人拆封并做隐名和保密传递，以保证评阅人的隐名权益。</w:t>
      </w:r>
    </w:p>
    <w:p>
      <w:pPr>
        <w:pStyle w:val="20"/>
        <w:spacing w:before="150" w:beforeAutospacing="0" w:after="0" w:afterAutospacing="0"/>
        <w:ind w:left="150"/>
        <w:jc w:val="center"/>
        <w:rPr>
          <w:color w:val="000000" w:themeColor="text1"/>
        </w:rPr>
      </w:pPr>
      <w:r>
        <w:rPr>
          <w:rStyle w:val="23"/>
          <w:rFonts w:hint="eastAsia" w:cs="微软雅黑"/>
          <w:color w:val="000000" w:themeColor="text1"/>
        </w:rPr>
        <w:t>第五章 学位论文答辩委员会的组成与职责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硕士学位论文答辩委员会由所在二级学院学位评定分委员会或学位点聘任，其成员不少于5人，副教授或具有相当专业技术职务以上的专家应占三分之二以上，至少1人为外单位同行专家。答辩委员会主席由同学科的教授或具有相当专业技术职务的外单位专家担任。评阅专家和申请人导师不得担任答辩委员会委员。</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第十三条 答辩委员会设秘书1位，应由具有硕士学位或中级及以上技术职务人员担任，负责答辩准备，记录和填写答辩情况等事宜。答辩委员会名单须经二级学院学位评定分委员会批准。</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第十四条 答辩委员会必须坚持实事求是的科学态度，严格按照“坚持标准、严格要求、保证质量、公正合理”的原则组织论文答辩工作。</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第十五条 论文答辩委员会职责如下：审查研究生的硕士学位论文；举行答辩会；根据国家学位条例和《浙江科技学院硕士学位授予工作细则》（浙科院研[2012]6号）的标准，对论文的学术水平、答辩情况进行认真讨论；给出论文的成绩；作出学术评语；以无记名投票方式，就学位论文是否合格、是否同意通过答辩、是否建议授予硕士学位进行表决，并根据表决结果形成决议。经三分之二及以上委员同意，答辩方为通过。答辩决议经答辩委员会主席签字后生效。答辩委员会主席应负责将论文评语及表决结果填入《浙江科技学院硕士学位申请书》。会议应有详细的纪录。</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第六章 学位论文答辩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第十六条 各二级学院应在答辩前10天将答辩委员会聘书和申请答辩的硕士学位论文送达各答辩委员会委员。</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第十七条 学位论文答辩应公开进行。涉密学位论文的评阅与答辩工作，应按照 相关涉密管理规定执行。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第十八条 学位论文答辩会程序：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（一）介绍学位申请人的基本情况。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（二）学位申请人报告论文主要内容。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（三）答辩委员会成员和与会者提问，学位申请人回答。</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答辩委员会举行会议（其他人员退场）。结合论文的评阅意见，答辩委员会对学位论文的学术水平和答辩情况进行评议，采取无记名投票方式，对学位论文是否合格和是否建议授予学位进行表决，并根据表决结果作出决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（五）答辩委员会主席当场向学位论文申请人宣读决议书。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第十九条 答辩结束后，记录人应将学位论文评阅书、学位申请书、答辩记录、表决票和表决结果送交所在二级学院。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第二十条 按本规定第九条通过学位论文答辩，但未获得学位的毕业研究生，若在相应学位所要求的最长修业年限内正式取得符合本规定要求的学术研究成果（浙江科技学院为第一完成或署名单位），可提出学位申请；但在相应学位所要求的最长修业年限内未能取得符合本规定要求的学术研究成果或未提出学位申请的，学校不再接受其学位申请。</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第七章 其　他</w:t>
      </w:r>
    </w:p>
    <w:p>
      <w:pPr>
        <w:pStyle w:val="20"/>
        <w:adjustRightInd w:val="0"/>
        <w:snapToGrid w:val="0"/>
        <w:spacing w:before="150" w:beforeAutospacing="0" w:after="0" w:afterAutospacing="0" w:line="520" w:lineRule="exact"/>
        <w:ind w:left="147" w:firstLine="360" w:firstLineChars="150"/>
        <w:rPr>
          <w:rFonts w:ascii="仿宋_GB2312" w:hAnsi="Times New Roman" w:eastAsia="仿宋_GB2312" w:cs="仿宋_GB2312"/>
          <w:color w:val="000000" w:themeColor="text1"/>
          <w:kern w:val="2"/>
        </w:rPr>
      </w:pPr>
      <w:r>
        <w:rPr>
          <w:rFonts w:hint="eastAsia" w:ascii="仿宋_GB2312" w:hAnsi="Times New Roman" w:eastAsia="仿宋_GB2312" w:cs="仿宋_GB2312"/>
          <w:color w:val="000000" w:themeColor="text1"/>
          <w:kern w:val="2"/>
        </w:rPr>
        <w:t>第二十一条 硕士学位论文评阅与答辩的酬金标准分别为：每位评阅专家每篇学位论文评阅费200至300元；每位答辩委员会委员每篇学位论文答辩费300至500元；秘书每篇学位论文60元。论文评审答辩费由导师培养经费中支出。</w:t>
      </w:r>
    </w:p>
    <w:p>
      <w:pPr>
        <w:pStyle w:val="20"/>
        <w:adjustRightInd w:val="0"/>
        <w:snapToGrid w:val="0"/>
        <w:spacing w:before="150" w:beforeAutospacing="0" w:after="0" w:afterAutospacing="0" w:line="520" w:lineRule="exact"/>
        <w:ind w:left="147" w:firstLine="360" w:firstLineChars="150"/>
        <w:rPr>
          <w:rFonts w:ascii="仿宋_GB2312" w:hAnsi="Times New Roman" w:eastAsia="仿宋_GB2312" w:cs="仿宋_GB2312"/>
          <w:color w:val="000000" w:themeColor="text1"/>
          <w:kern w:val="2"/>
        </w:rPr>
      </w:pPr>
      <w:r>
        <w:rPr>
          <w:rFonts w:hint="eastAsia" w:ascii="仿宋_GB2312" w:hAnsi="Times New Roman" w:eastAsia="仿宋_GB2312" w:cs="仿宋_GB2312"/>
          <w:color w:val="000000" w:themeColor="text1"/>
          <w:kern w:val="2"/>
        </w:rPr>
        <w:t>第二十二条 本规定自发布之日起执行。</w:t>
      </w:r>
    </w:p>
    <w:p>
      <w:pPr>
        <w:pStyle w:val="20"/>
        <w:adjustRightInd w:val="0"/>
        <w:snapToGrid w:val="0"/>
        <w:spacing w:before="150" w:beforeAutospacing="0" w:after="0" w:afterAutospacing="0" w:line="520" w:lineRule="exact"/>
        <w:ind w:left="147" w:firstLine="360" w:firstLineChars="150"/>
        <w:rPr>
          <w:rFonts w:ascii="仿宋_GB2312" w:hAnsi="Times New Roman" w:eastAsia="仿宋_GB2312" w:cs="仿宋_GB2312"/>
          <w:color w:val="000000" w:themeColor="text1"/>
          <w:kern w:val="2"/>
        </w:rPr>
      </w:pPr>
      <w:r>
        <w:rPr>
          <w:rFonts w:hint="eastAsia" w:ascii="仿宋_GB2312" w:hAnsi="Times New Roman" w:eastAsia="仿宋_GB2312" w:cs="仿宋_GB2312"/>
          <w:color w:val="000000" w:themeColor="text1"/>
          <w:kern w:val="2"/>
        </w:rPr>
        <w:t>第二十三条 本规定经校学位评定委员会讨论通过执行，由校学位评定委员会秘书处负责解释。</w:t>
      </w:r>
    </w:p>
    <w:p>
      <w:pPr>
        <w:pStyle w:val="20"/>
        <w:adjustRightInd w:val="0"/>
        <w:snapToGrid w:val="0"/>
        <w:spacing w:before="150" w:beforeAutospacing="0" w:after="0" w:afterAutospacing="0" w:line="520" w:lineRule="exact"/>
        <w:ind w:left="147" w:firstLine="360" w:firstLineChars="150"/>
        <w:rPr>
          <w:b/>
          <w:color w:val="000000" w:themeColor="text1"/>
        </w:rPr>
      </w:pPr>
      <w:r>
        <w:rPr>
          <w:rFonts w:hint="eastAsia" w:ascii="仿宋_GB2312" w:hAnsi="Times New Roman" w:eastAsia="仿宋_GB2312" w:cs="仿宋_GB2312"/>
          <w:color w:val="000000" w:themeColor="text1"/>
          <w:kern w:val="2"/>
        </w:rPr>
        <w:t>　</w:t>
      </w:r>
      <w:r>
        <w:rPr>
          <w:rFonts w:hint="eastAsia" w:ascii="仿宋_GB2312" w:hAnsi="Times New Roman" w:eastAsia="仿宋_GB2312" w:cs="仿宋_GB2312"/>
          <w:color w:val="000000" w:themeColor="text1"/>
          <w:kern w:val="2"/>
        </w:rPr>
        <w:br w:type="textWrapping"/>
      </w:r>
      <w:r>
        <w:rPr>
          <w:rFonts w:hint="eastAsia" w:ascii="微软雅黑" w:hAnsi="微软雅黑" w:eastAsia="微软雅黑" w:cs="微软雅黑"/>
          <w:color w:val="000000" w:themeColor="text1"/>
          <w:sz w:val="18"/>
          <w:szCs w:val="18"/>
        </w:rPr>
        <w:br w:type="textWrapping"/>
      </w:r>
      <w:r>
        <w:rPr>
          <w:rFonts w:hint="eastAsia" w:ascii="微软雅黑" w:hAnsi="微软雅黑" w:eastAsia="微软雅黑" w:cs="微软雅黑"/>
          <w:b/>
          <w:color w:val="000000" w:themeColor="text1"/>
          <w:sz w:val="18"/>
          <w:szCs w:val="18"/>
        </w:rPr>
        <w:t>附件：</w:t>
      </w:r>
    </w:p>
    <w:p>
      <w:pPr>
        <w:pStyle w:val="20"/>
        <w:spacing w:before="150" w:beforeAutospacing="0" w:after="0" w:afterAutospacing="0"/>
        <w:ind w:left="150"/>
        <w:jc w:val="center"/>
        <w:rPr>
          <w:rStyle w:val="23"/>
          <w:rFonts w:cs="微软雅黑"/>
          <w:color w:val="000000" w:themeColor="text1"/>
        </w:rPr>
      </w:pPr>
      <w:r>
        <w:rPr>
          <w:rStyle w:val="23"/>
          <w:rFonts w:hint="eastAsia" w:cs="微软雅黑"/>
          <w:color w:val="000000" w:themeColor="text1"/>
        </w:rPr>
        <w:t>浙江科技学院研究生学位论文格式的统一要求（试行）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位论文是研究生从事科研工作的主要成果，集中展示了研究生在研究工作中的新发明、新理论、新见解和具有创造性的研究成果，是研究生申请硕士的重要依据，也是科研领域中的重要文献资料和社会的宝贵财富。为规范学位论文的格式，提高学位论文的质量，特制定本统一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一、内容要求：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学位论文应层次分明，数据可靠，文字简练，推理有据，立论严谨。论文内容一般由10个主要部分组成，依次为：1.封面；2.学位论文原创性声明和学位论文使用授权声明；3.中文摘要；4.英文摘要；5.目录；6.符号说明；7.论文正文；8.参考文献；9.附录；10.致谢；11.攻读学位期间发表的学术论文目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1.封面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采用学校研究生处统一规定的封面格式，封页上填写论文题目、作者姓名、指导教师姓名、学科专业、所在二级学院、提交日期等内容。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2.学位论文原创性声明和学位论文使用授权声明。</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3.中文摘要</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中文摘要应表达学位论文的中心内容，简短明了，摘取原论文中的基本信息，体现科研工作的核心思想。内容应涉及本项科研工作的目的和意义、研究方法、研究成果、结论及意义。注意突出学位论文中具有创造性成果和新见解部分。</w:t>
      </w:r>
    </w:p>
    <w:p>
      <w:pPr>
        <w:pStyle w:val="67"/>
        <w:numPr>
          <w:ilvl w:val="0"/>
          <w:numId w:val="12"/>
        </w:numPr>
        <w:adjustRightInd w:val="0"/>
        <w:snapToGrid w:val="0"/>
        <w:spacing w:line="520" w:lineRule="exact"/>
        <w:ind w:firstLineChars="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英文摘要</w:t>
      </w:r>
    </w:p>
    <w:p>
      <w:pPr>
        <w:pStyle w:val="67"/>
        <w:adjustRightInd w:val="0"/>
        <w:snapToGrid w:val="0"/>
        <w:spacing w:line="520" w:lineRule="exact"/>
        <w:ind w:left="420" w:firstLine="0" w:firstLineChars="0"/>
        <w:rPr>
          <w:color w:val="000000" w:themeColor="text1"/>
        </w:rPr>
      </w:pPr>
      <w:r>
        <w:rPr>
          <w:rFonts w:hint="eastAsia" w:ascii="仿宋_GB2312" w:hAnsi="Times New Roman" w:eastAsia="仿宋_GB2312" w:cs="仿宋_GB2312"/>
          <w:color w:val="000000" w:themeColor="text1"/>
          <w:sz w:val="24"/>
          <w:szCs w:val="24"/>
        </w:rPr>
        <w:t>英文摘要的内容应与中文摘要相对应。</w:t>
      </w:r>
    </w:p>
    <w:p>
      <w:pPr>
        <w:pStyle w:val="67"/>
        <w:numPr>
          <w:ilvl w:val="0"/>
          <w:numId w:val="12"/>
        </w:numPr>
        <w:adjustRightInd w:val="0"/>
        <w:snapToGrid w:val="0"/>
        <w:spacing w:line="520" w:lineRule="exact"/>
        <w:ind w:left="420" w:firstLine="0" w:firstLineChars="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目录</w:t>
      </w:r>
    </w:p>
    <w:p>
      <w:pPr>
        <w:pStyle w:val="67"/>
        <w:adjustRightInd w:val="0"/>
        <w:snapToGrid w:val="0"/>
        <w:spacing w:line="520" w:lineRule="exact"/>
        <w:ind w:left="420" w:firstLine="0" w:firstLineChars="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论文的提纲，是论文各组成部分的小标题，应简明扼要，一目了然。</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6.符号说明</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论文中所用符号的意义、单位（或量纲）和缩写的说明。</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7.论文正文</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正文是主体，一般由标题、正文、图、表格和公式5个部分构成。写作内容可因科研项目的性质不同而变化，一般可包括理论分析、计算方法、实验装置和测试方法，经过整理加工的实验结果分析和讨论，与理论计算结果的比较以及本研究方法与已有研究法的比较等。</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8.参考文献</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参考文献应按文中引用出现的顺序列全，附于文末。学位论文中列出的参考文献必须实事求是，论文中引用的必须列出，没有引用的一律删去。</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9.附录</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主要列入正文内过分冗长的公式推导；以备查读方便所需的辅助性数学工具或表格；重复性数据图表、程序全文及说明等。</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10.致谢</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对给予各类资助、指导和协助完成研究工作，以及提供各种条件的单位及个人表示感谢。致谢应实事求是，切忌浮夸与庸俗之词。</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11.攻读学位期间发表的学术论文目录</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按学术论文发表的时间顺序，列齐本人在攻读学位期间发表或已录用的学术论文清单（包括时间、发表刊物名称及论文署名）。论文署名必须以浙江科技学院名义的第一、第二或第三作者。</w:t>
      </w:r>
      <w:r>
        <w:rPr>
          <w:rFonts w:hint="eastAsia" w:ascii="仿宋_GB2312" w:hAnsi="Times New Roman" w:eastAsia="仿宋_GB2312" w:cs="仿宋_GB2312"/>
          <w:color w:val="000000" w:themeColor="text1"/>
          <w:sz w:val="24"/>
          <w:szCs w:val="24"/>
        </w:rPr>
        <w:br w:type="textWrapping"/>
      </w:r>
      <w:r>
        <w:rPr>
          <w:rFonts w:hint="eastAsia" w:ascii="仿宋_GB2312" w:hAnsi="Times New Roman" w:eastAsia="仿宋_GB2312" w:cs="仿宋_GB2312"/>
          <w:color w:val="000000" w:themeColor="text1"/>
          <w:sz w:val="24"/>
          <w:szCs w:val="24"/>
        </w:rPr>
        <w:t>二、撰写规范</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1.封面上的内容可用钢笔填写，也可用计算机打印，必须正确无误。论文题目不得超过36个汉字。</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2.硕士学位论文中文摘要字数为500字左右，其内容次序为论文题目、摘要二字，摘要内容、关键词（不超过15个汉字）。</w:t>
      </w:r>
    </w:p>
    <w:p>
      <w:pPr>
        <w:pStyle w:val="67"/>
        <w:adjustRightInd w:val="0"/>
        <w:snapToGrid w:val="0"/>
        <w:spacing w:line="520" w:lineRule="exact"/>
        <w:ind w:left="420" w:firstLine="48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（1）论文题目为三号黑体字，可以分成1或2行居中打印。</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（2）论文题目下空一行居中打印摘要二字（三号黑体），字间空一格。</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（3）摘要二字下空一行打印摘要内容（四号宋体）。每段开头空二格，标点符号占一格。</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（4）摘要内容后下空一行打印关键词三字（四号黑体），其后为关键词（四号宋体）。关键词数量为4～6个，每一关键词之间用逗号分开，最后一个关键词后不打标点符号。</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3.英文摘要题目全部采用大写字母，可分成1～3行居中打印，每行左右两边至少留5个字符空格。</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（1）题目下空3行居中打印“ABSTRACT”，再下空2行打印英文摘要内容。</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（2）摘要内容每段开头留4个空符空格。</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（3）摘要内容后下空二行打印“KEY WORDS”，其后关键词小写，每一关键词之间逗号分开，最后一个关键词后不打标点符号。</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4.目录二字（三号黑体），下空二行为章、节、小节及其开始页码。章、节、小节等顺次以一、1.1、1.1.1、1.1.2……等数字依次标出。</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标题：每章标题以三号黑体居中打印；“章”下空2行为节号与节标题，节号以X.X的形式标注（如2.3为第二章第三节），以四号黑体左起顶格打印；节号与节标题下空一行为小节号与小节标题，小节号以X.X.X的形式标注（如2.3.4为第二章第三节第四小节）以小四号黑体左起顶格打印。换行后打印论文正文。</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6.正文：采用小四号宋体打印，英文正文用小四号Times New Roman。</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7.图：图中标注、图题可用中、英任一种文字，亦可采用中英文对照，其英文字体为五号Times New Roman，中文字体为五号宋体。引用图应在图题右上角标出文献来源。</w:t>
      </w:r>
    </w:p>
    <w:p>
      <w:pPr>
        <w:pStyle w:val="67"/>
        <w:adjustRightInd w:val="0"/>
        <w:snapToGrid w:val="0"/>
        <w:spacing w:line="520" w:lineRule="exact"/>
        <w:ind w:left="420" w:firstLine="360" w:firstLineChars="15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图号按章顺序号，如图3-2为第三章第二图。如果图中含有几个不同部分，应标注分图号，并在图题下列出各部分内容。</w:t>
      </w:r>
    </w:p>
    <w:p>
      <w:pPr>
        <w:pStyle w:val="67"/>
        <w:adjustRightInd w:val="0"/>
        <w:snapToGrid w:val="0"/>
        <w:spacing w:line="520" w:lineRule="exact"/>
        <w:ind w:left="420" w:firstLine="360" w:firstLineChars="15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绘图必须工整、清晰、规范。其中机械零件图按机械制图规格要求，示意图应能清楚反映图示内容，照片应在右下角给出放大标尺，实验结果曲线图应制成方框图。</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8.表格：表格按章顺序编号，如表5-4为第五章第四表。表应有标题，表内必须按规定的符号标注单位。</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9.公式：公式书写应在文中另起一行。公式后应注明序号，按章顺序编排。</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10.参考文献：</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学位论文的参考文献应按科技部规定的格式书写，具体格式如下：</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期刊或杂志：[序号]作者名.文章名[J].杂志名,年,卷(期)：起止页码</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书或专著：[序号]著者名.书名[M].出版地：出版社, 出版年.起止页码</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论文集：[序号]文章作者名.文章名[A].论文集编者.文集名[C].出版地：出版社，出版年.起止页码</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专利：[序号]专利所有者.题名[P].国别：专利号，年 月 日</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报纸：[序号]作者.篇名[N].报纸名，年月 日</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标准：[序号]标准编号，标准名称[S]</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电子文献：[序号]主要责任者.电子文献题名.电子文献出处或可获得地址，发表或更新日期/引用日期</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序号按文献在论文中出现的先后次序排列，引用文献应在文章中的引用处右上角加注。</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参考文献中每条项目应齐全。文献中的作者列出前三名，作者姓名之间用逗号分开；中外人名一律采用姓在前、名在后的著录法。</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11.论文的附录顺次为附录1，附录2……编号。附录中的图和公式另编排序号，与正文分开。</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12.攻读学位期间发表的学术论文目录格式同上述第10条。</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13.打印及装订要求</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（1）研究生学位论文内容一律采用计算机打印，用A4纸，上、下各空25mm，左、右各空30mm。</w:t>
      </w:r>
    </w:p>
    <w:p>
      <w:pPr>
        <w:pStyle w:val="67"/>
        <w:adjustRightInd w:val="0"/>
        <w:snapToGrid w:val="0"/>
        <w:spacing w:line="520" w:lineRule="exact"/>
        <w:ind w:left="420" w:firstLine="48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（2）用学校研究生处统一规定的封面格式装订成册。</w:t>
      </w:r>
    </w:p>
    <w:p>
      <w:pPr>
        <w:pStyle w:val="20"/>
        <w:spacing w:before="150" w:beforeAutospacing="0" w:after="0" w:afterAutospacing="0"/>
        <w:ind w:left="150"/>
        <w:jc w:val="right"/>
        <w:rPr>
          <w:rStyle w:val="23"/>
          <w:rFonts w:cs="微软雅黑" w:asciiTheme="minorEastAsia" w:hAnsiTheme="minorEastAsia" w:eastAsiaTheme="minorEastAsia"/>
          <w:color w:val="000000" w:themeColor="text1"/>
        </w:rPr>
      </w:pPr>
    </w:p>
    <w:p>
      <w:pPr>
        <w:pStyle w:val="20"/>
        <w:spacing w:before="150" w:beforeAutospacing="0" w:after="0" w:afterAutospacing="0"/>
        <w:ind w:left="150"/>
        <w:jc w:val="right"/>
        <w:rPr>
          <w:rFonts w:cs="微软雅黑" w:asciiTheme="minorEastAsia" w:hAnsiTheme="minorEastAsia" w:eastAsiaTheme="minorEastAsia"/>
          <w:color w:val="000000" w:themeColor="text1"/>
        </w:rPr>
      </w:pPr>
      <w:r>
        <w:rPr>
          <w:rStyle w:val="23"/>
          <w:rFonts w:hint="eastAsia" w:cs="微软雅黑"/>
          <w:color w:val="000000" w:themeColor="text1"/>
        </w:rPr>
        <w:t>浙江科技学院院长办公室</w:t>
      </w:r>
      <w:r>
        <w:rPr>
          <w:rFonts w:hint="eastAsia" w:cs="微软雅黑"/>
          <w:color w:val="000000" w:themeColor="text1"/>
        </w:rPr>
        <w:t> </w:t>
      </w:r>
    </w:p>
    <w:p>
      <w:pPr>
        <w:pStyle w:val="20"/>
        <w:spacing w:before="150" w:beforeAutospacing="0" w:after="0" w:afterAutospacing="0"/>
        <w:ind w:left="150"/>
        <w:jc w:val="right"/>
        <w:rPr>
          <w:color w:val="000000" w:themeColor="text1"/>
        </w:rPr>
      </w:pPr>
      <w:r>
        <w:rPr>
          <w:rStyle w:val="23"/>
          <w:rFonts w:hint="eastAsia" w:cs="微软雅黑"/>
          <w:color w:val="000000" w:themeColor="text1"/>
        </w:rPr>
        <w:t>2014年3月31日印发</w:t>
      </w:r>
    </w:p>
    <w:p>
      <w:pPr>
        <w:widowControl/>
        <w:jc w:val="left"/>
        <w:rPr>
          <w:rFonts w:ascii="Calibri" w:hAnsi="Calibri" w:eastAsia="宋体" w:cs="Times New Roman"/>
          <w:color w:val="000000" w:themeColor="text1"/>
        </w:rPr>
      </w:pPr>
      <w:r>
        <w:rPr>
          <w:rFonts w:ascii="Calibri" w:hAnsi="Calibri" w:eastAsia="宋体" w:cs="Times New Roman"/>
          <w:color w:val="000000" w:themeColor="text1"/>
        </w:rPr>
        <w:br w:type="page"/>
      </w:r>
    </w:p>
    <w:p>
      <w:pPr>
        <w:rPr>
          <w:rFonts w:ascii="Calibri" w:hAnsi="Calibri" w:eastAsia="宋体" w:cs="Times New Roman"/>
          <w:color w:val="000000" w:themeColor="text1"/>
        </w:rPr>
      </w:pPr>
      <w:r>
        <w:rPr>
          <w:rFonts w:ascii="Calibri" w:hAnsi="Calibri" w:eastAsia="宋体" w:cs="Times New Roman"/>
          <w:color w:val="000000" w:themeColor="text1"/>
        </w:rPr>
        <w:drawing>
          <wp:inline distT="0" distB="0" distL="114300" distR="114300">
            <wp:extent cx="5381625" cy="68580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9"/>
                    <a:stretch>
                      <a:fillRect/>
                    </a:stretch>
                  </pic:blipFill>
                  <pic:spPr>
                    <a:xfrm>
                      <a:off x="0" y="0"/>
                      <a:ext cx="5381625" cy="6858000"/>
                    </a:xfrm>
                    <a:prstGeom prst="rect">
                      <a:avLst/>
                    </a:prstGeom>
                    <a:noFill/>
                    <a:ln w="9525">
                      <a:noFill/>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widowControl/>
        <w:jc w:val="left"/>
        <w:rPr>
          <w:b/>
          <w:bCs/>
          <w:color w:val="000000" w:themeColor="text1"/>
          <w:sz w:val="32"/>
          <w:szCs w:val="32"/>
        </w:rPr>
      </w:pPr>
      <w:r>
        <w:rPr>
          <w:b/>
          <w:bCs/>
          <w:color w:val="000000" w:themeColor="text1"/>
          <w:sz w:val="32"/>
          <w:szCs w:val="32"/>
        </w:rPr>
        <w:br w:type="page"/>
      </w:r>
    </w:p>
    <w:p>
      <w:pPr>
        <w:jc w:val="center"/>
        <w:rPr>
          <w:b/>
          <w:bCs/>
          <w:color w:val="000000" w:themeColor="text1"/>
          <w:sz w:val="32"/>
          <w:szCs w:val="32"/>
        </w:rPr>
      </w:pPr>
      <w:r>
        <w:rPr>
          <w:rFonts w:hint="eastAsia"/>
          <w:b/>
          <w:bCs/>
          <w:color w:val="000000" w:themeColor="text1"/>
          <w:sz w:val="32"/>
          <w:szCs w:val="32"/>
        </w:rPr>
        <w:t>6. 学校制定的其他有关文件</w:t>
      </w:r>
    </w:p>
    <w:p>
      <w:pPr>
        <w:rPr>
          <w:color w:val="000000" w:themeColor="text1"/>
        </w:rPr>
      </w:pP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浙江科技学院在校学生出国( 境)学习或交流的规定</w:t>
      </w:r>
    </w:p>
    <w:p>
      <w:pPr>
        <w:adjustRightInd w:val="0"/>
        <w:snapToGrid w:val="0"/>
        <w:spacing w:line="520" w:lineRule="exact"/>
        <w:ind w:firstLine="480" w:firstLineChars="200"/>
        <w:jc w:val="center"/>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浙科院外〔2016〕6 号</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为加强在校学生出国(境)学习或交流工作管理,保证在校学生出国(境)学习或交</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流选拔工作的公正、公平及有序开展,特制订本规定。</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一、总则</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（一）适用对象</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1.赴国(境)外合作院校及其他机构学习、实习、短期交流、参加寒暑期游学项目</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的我校全日制本科学生（中德联合培养本科生项目学生除外）；</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2.赴国（境）外合作院校及其他机构从事科学研究、实习的我校注册研究生（原</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则上二年级及以上学生）。</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申请休学赴国（境）外自费留学的学生不适用于本规定。</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（二）项目审批程序</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学生出国（境）学习或交流项目立项应符合专业发展与培养计划要求。项目学生</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选拔不能委托或由中介机构完成。进行学分互认时，学生须提供外方高校出具的有效</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成绩单，且学分互认须符合相关专业的培养计划要求。学生出国（境）学习或交流项</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目采用“先立项后选拔“方式进行，立项审批程序（项目审批单见附件 1）如下：</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1.凡是涉及学分转换的本科层次学生出国（境）学习或交流项目需事先经过学校</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国际交流合作处（港澳台工作办公室）、教务处、分管国际合作校领导、分管教学校</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领导和校长审批同意后，方可实施；</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2.凡是涉及学分转换的研究生层次学生出国（境）学习或交流项目需事先经过学</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校国际交流合作处（港澳台工作办公室）、研究生处、分管国际合作校领导、分管研</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究生校领导和校长审批同意后，方可实施。</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二、选拔条件</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（一）申请人应具备以下基本条件:</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1.热爱社会主义祖国，拥护党的基本路线，品德优良，身心健康，符合因公出国</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的政审基本条件，近两年未受纪律处分；</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2.外语水平符合派遣国或地区的外语要求；</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3.热爱本专业，学习勤奋，成绩优良。</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（二）项目所在的二级学院或职能部门应在此基础上，根据不同合作项目的要求，</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制订符合本学院或本部门实际的其他条件。</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三、选拔办法及程序</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（一）项目所在的二级学院或职能部门应制订明确的选拔条件和选拔办法，公布</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选拔名额和项目情况。选拔条件和选拔办法的制订应体现“自愿报名,择优录取”的原</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则，并报国际交流合作处（港澳台工作办公室）备案。</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（二）报名学生填写《浙江科技学院本科学生出国（境）学习或交流申请表》（附</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件 2）《浙江科技学院研究生出国（境）学习或交流申请表》（附件 3）《浙江科技</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学院本科生赴国（境）外高校交流学习课程修读计划表》（涉及学分转换的学生必须</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填写），递交至学生所在学院外事秘书，由外事秘书请学院相关领导审核、签字、盖</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章后，报项目所在的二级学院或职能部门。</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（三）项目所在的二级学院或职能部门组成学生出国（境）选拔小组，根据选拔</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条件和选拔办法对学生进行资格审定和选拔，初定出国（境）学生名单。</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（四）国际交流合作处（港澳台工作办公室）审核各项目所在二级学院或职能部</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门提交的申请材料后，公示出国(境)人选名单，并受理公示过程中出现的问题。</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（五）国际交流合作处（港澳台工作办公室）领导签字、盖章。</w:t>
      </w:r>
    </w:p>
    <w:p>
      <w:pPr>
        <w:adjustRightInd w:val="0"/>
        <w:snapToGrid w:val="0"/>
        <w:spacing w:line="520" w:lineRule="exact"/>
        <w:ind w:firstLine="1200" w:firstLineChars="5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四、出国（境）学生管理</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（一）国际交流合作处（港澳台工作办公室）应在学期末将下学期出国（境）一</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个学期及以上的学生名单报教务处（本科生）、学生处（本科生）、研究生处（研究</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生）、后勤服务部备案，各相关职能部门和后勤服务部做好学籍变更、退宿等工作。</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（二）选拔通过的学生须按要求填写《浙江科技学院学生出国（境）学习交流协</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议书》（需学生本人及家长签字），填妥后报学生所在二级学院，由学生所在二级学</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院转报项目所在学院或职能部门。</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（三）出国（境）学生的出国(境)报批手续及护照、签证的办理纳入国际交流合</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作处（港澳台工作办公室）统一管理，不得以出国（境）旅游、探亲访友等名义办理</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相关出国（境）手续。</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（四）学生出国（境）前，项目所在的二级学院或职能部门应协同国际交流合作</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处（港澳台工作办公室）做好出国（境）学生的行前教育。</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国际交流合作文件汇编</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（五）对于寒暑期游学项目、短期交流项目，各项目所在二级学院或职能部门原</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则上应有带队教师全程负责项目学生在国（境）外期间的学习、生活指导；对于出国</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（境）学习、实习的学生，各项目所在二级学院或职能部门要指定一名辅导员/指导</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教师，及时了解学生的思想、学习、生活情况，并给予必要的指导。</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（六）在国（境）外学习或交流期间，出国（境）学生应遵守所在国的法律法规</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和所在学校的校规校纪，遵守中国法律和中国对出国留学人员的规定，维护学校的声</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誉。</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（七）出国（境）学生须根据学校与国（境）外合作院校制订的学习计划，在留</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学期限内完成规定的学习任务，并按期回国。如确需中止、延长留学期限或改变留学</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内容，须向项目所在二级学院或职能部门提出申请并征得学校同意。</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（八）本科生交流学习结束返校后，项目所在二级学院或职能部门应指导学生填</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写《浙江科技学院本科生赴国（境）外高校交流学习课程认定及学分转换申请表》（涉</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及学分转换的项目学生必须填写），并协同教务处做好出国（境）学生在国（境）外</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取得的学分及学习成绩的认定。</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五、出国（境）费用及资助办法</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（一）学生赴国（境）外学习、交流的国际旅费、生活费用、学习费用、保险费</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用等均由学生自理。</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（二）互免学费的出国（境）学习、交流项目的学生出国（境）期间应继续缴纳</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在本校的学费。如确需交纳对方合作院校的学费，出国（境）学生凭国（境）外合作</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院校出具的学费收据可免交我校该学期或该学年的学分学费（不含毕业设计学分学</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费），但仍须交纳在我校注册的专业学费。</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经教育部批准备案的中外合作办学机构及项目学生赴国（境）外学习，如外方合</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作院校免交学费，项目学生需按照我校该机构或项目学生学费收取标准交纳学费；如</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确需交纳对方合作院校学费，项目学生凭国（境）外合作院校出具的学费收据免交我</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校该学期或该学年的学分学费（不含毕业设计学分学费），但需按照相关普通专业学</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生的专业学费收取标准交纳专业学费。</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该学费收取办法适用于在国（境）外合作院校实习、学习一个学期及以上的学生，</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其他出国（境）学生仍须交纳学费。</w:t>
      </w:r>
    </w:p>
    <w:p>
      <w:pPr>
        <w:adjustRightInd w:val="0"/>
        <w:snapToGrid w:val="0"/>
        <w:spacing w:line="520" w:lineRule="exact"/>
        <w:ind w:firstLine="960" w:firstLineChars="4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（三）出国（境）学生可依据《浙江科技学院本科生赴国（境）外交流奖学金评</w:t>
      </w:r>
    </w:p>
    <w:p>
      <w:pPr>
        <w:adjustRightInd w:val="0"/>
        <w:snapToGrid w:val="0"/>
        <w:spacing w:line="520" w:lineRule="exact"/>
        <w:ind w:firstLine="480" w:firstLineChars="200"/>
        <w:jc w:val="lef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选办法》《浙江科技学院研究生赴国（境）外交流奖学金评选办法》《浙江科技学院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中外合作办学项目学生奖学金及各有关奖项评选的实施办法》《浙江科技学院中德工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程师学院学生奖学金及各有关奖项评选实施办法》等向项目所在二级学院或职能部门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提交奖学金申请表，申请资助。</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六、附则</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（一）本规定自公布之日起实施，原《浙江科技学院在校学生出国（境）学习或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交流的暂行规定》（浙科院外〔2008〕2 号）自本规定发布之日起废止；</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（二）本规定由国际交流合作处（港澳台工作办公室）负责解释。</w:t>
      </w:r>
    </w:p>
    <w:p>
      <w:pPr>
        <w:adjustRightInd w:val="0"/>
        <w:snapToGrid w:val="0"/>
        <w:spacing w:line="520" w:lineRule="exact"/>
        <w:rPr>
          <w:rFonts w:hint="eastAsia" w:ascii="仿宋_GB2312" w:hAnsi="Times New Roman" w:eastAsia="仿宋_GB2312" w:cs="仿宋_GB2312"/>
          <w:color w:val="000000" w:themeColor="text1"/>
          <w:sz w:val="24"/>
          <w:szCs w:val="24"/>
        </w:rPr>
      </w:pPr>
    </w:p>
    <w:p>
      <w:pPr>
        <w:adjustRightInd w:val="0"/>
        <w:snapToGrid w:val="0"/>
        <w:spacing w:line="520" w:lineRule="exact"/>
        <w:rPr>
          <w:rFonts w:hint="eastAsia" w:ascii="仿宋_GB2312" w:hAnsi="Times New Roman" w:eastAsia="仿宋_GB2312" w:cs="仿宋_GB2312"/>
          <w:color w:val="000000" w:themeColor="text1"/>
          <w:sz w:val="24"/>
          <w:szCs w:val="24"/>
        </w:rPr>
      </w:pPr>
    </w:p>
    <w:p>
      <w:pPr>
        <w:adjustRightInd w:val="0"/>
        <w:snapToGrid w:val="0"/>
        <w:spacing w:line="520" w:lineRule="exact"/>
        <w:rPr>
          <w:rFonts w:hint="eastAsia" w:ascii="仿宋_GB2312" w:hAnsi="Times New Roman" w:eastAsia="仿宋_GB2312" w:cs="仿宋_GB2312"/>
          <w:color w:val="000000" w:themeColor="text1"/>
          <w:sz w:val="24"/>
          <w:szCs w:val="24"/>
        </w:rPr>
      </w:pPr>
    </w:p>
    <w:p>
      <w:pPr>
        <w:adjustRightInd w:val="0"/>
        <w:snapToGrid w:val="0"/>
        <w:spacing w:line="52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浙江科技学院在校学生赴台交流学习规定</w:t>
      </w:r>
    </w:p>
    <w:p>
      <w:pPr>
        <w:adjustRightInd w:val="0"/>
        <w:snapToGrid w:val="0"/>
        <w:spacing w:line="520" w:lineRule="exact"/>
        <w:ind w:firstLine="480" w:firstLineChars="200"/>
        <w:jc w:val="center"/>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浙科院外〔2017〕2 号</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为加强我校学生赴台湾地区学习与交流工作管理,保证在校学生赴台湾地区学习</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与交流选拔工作的公正、公平及有序开展，结合学校《浙江科技学院在校学生出国（境）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学习或交流的规定》（浙科院外〔2016〕6 号）文件内容，特制订本规定。</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一、适用对象</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1.赴台湾地区合作院校及其他机构学习、实习、短期交流、参加寒暑期游学项目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的我校全日制本科学生；</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2.赴台湾地区合作院校及其他机构从事科学研究、实习的我校注册研究生。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申请休学赴台湾地区自费留学的学生不适用于本规定。</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二、赴台交流项目审批程序</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学生赴台湾地区学习或交流项目立项应符合专业发展与培养计划要求。项目学生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选拔不能委托或由中介机构完成。进行学分互认时，学生须提供台湾高校出具的有效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成绩单，且学分互认须符合相关专业的培养计划要求。学生赴台湾地区学习或交流项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目采用“先立项后选拔”方式进行，立项审批程序如下：</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1.凡是涉及学分转换的本科层次学生赴台湾地区学习或交流项目需事先经过学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校港澳台工作办公室、教务处、分管港澳台合作校领导、分管教学校领导和校长审批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同意后，方可实施；</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2.凡是涉及学分转换的研究生层次学生赴台湾地区学习或交流项目需事先经过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学校港澳台工作办公室、研究生处、分管港澳台合作校领导、分管研究生校领导和校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长审批同意后，方可实施。</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三、赴台交流学生选拔条件</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（一）申请人应具备以下基本条件:</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1.热爱社会主义祖国，拥护党的基本路线，品德优良，身心健康，符合因公出国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的政审基本条件，近两年未受纪律处分；</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2.热爱本专业，学习勤奋，成绩优良；</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3.申请学生原则上应为非人文类专业学生，其中本科生为三年级及以上，研究生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为二年级及以上。</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（二）项目所在的二级学院或职能部门应在此基础上，根据不同合作项目的要求，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制订符合本学院或本部门实际的其他条件。</w:t>
      </w:r>
    </w:p>
    <w:p>
      <w:pPr>
        <w:adjustRightInd w:val="0"/>
        <w:snapToGrid w:val="0"/>
        <w:spacing w:line="520" w:lineRule="exact"/>
        <w:ind w:firstLine="960" w:firstLineChars="4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赴台交流学习学生的具体选拔办法及程序、赴台学生的管理以及赴台交流学习费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用和资助办法参照《浙江科技学院在校学生出国（境）学习或交流的规定》（浙科院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外〔2016〕6 号）文件执行。</w:t>
      </w:r>
    </w:p>
    <w:p>
      <w:pPr>
        <w:adjustRightInd w:val="0"/>
        <w:snapToGrid w:val="0"/>
        <w:spacing w:line="520" w:lineRule="exact"/>
        <w:ind w:firstLine="960" w:firstLineChars="4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四、本规定由港澳台工作办公室负责解释，自发文之日起施行。</w:t>
      </w:r>
    </w:p>
    <w:p>
      <w:pPr>
        <w:adjustRightInd w:val="0"/>
        <w:snapToGrid w:val="0"/>
        <w:spacing w:line="520" w:lineRule="exact"/>
        <w:ind w:firstLine="480" w:firstLineChars="200"/>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浙江科技学院研究生赴国（境）外交流奖学金评选办法</w:t>
      </w:r>
    </w:p>
    <w:p>
      <w:pPr>
        <w:adjustRightInd w:val="0"/>
        <w:snapToGrid w:val="0"/>
        <w:spacing w:line="520" w:lineRule="exact"/>
        <w:ind w:firstLine="480" w:firstLineChars="200"/>
        <w:jc w:val="center"/>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浙科院外〔2017〕1 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为进一步推进我校国际化办学进程，鼓励我校研究生出 国（境）学习交流，提升研究生的国际交流能力，培养具有 国际素养的高层次应用型人才，同时为进一步规范研究生赴 国（境）外交流奖学金的评选和发放工作，特制定本办法。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 第一条  组织机构和职责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1.成立浙江科技学院研究生赴国（境）外交流奖学金评选工作领导小组（以下简称领导小组），由学校分管国际交 流合作和研究生工作的领导担任组长，研究生处、国际交流 合作处（港澳台工作办公室）和计财处负责人任成员。领导 小组下设办公室，办公室设在国际交流合作处（港澳台工作办公室）。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2.领导小组的主要职责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（1）审定项目所在二级学院或部门制定的研究生赴国（境）外交流奖学金评选实施细则；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（2）审定二级学院或部门拟实施的研究生赴国（境）外 交流项目；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（3）审定研究生赴国（境）外交流奖学金的评选结果；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（4）对研究生赴国（境）外交流奖学金的评选工作进行 指导，审议评选工作等重大事宜，并监督和检查实施情况。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资助项目、对象及责任部门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项目名称：联合培养研究生项目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资助对象：面向联合培养研究生项目范围内赴国（境）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外合作院校攻读学位的、学习成绩优秀的在校研究生。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项目执行责任部门：相关二级学院或部门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项目名称：国（境）外学期项目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资助对象：面向赴国（境）外参加一学期及以上学习交流项目的在校研究生，含课程学习、实习及毕业设计学生，不包括联合培养研究生项目、经教育部批准备案的中外合作 办学机构及项目的学生。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项目执行责任部门：相关二级学院或部门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资助方式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1.联合培养研究生项目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资助等级及名额：设一等奖 1 名，资助额度 3 万元/人；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二等奖 2 名，资助额度 2 万元/人；三等奖 3 名，资助额度 1 万元/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资助发放方式：该项目奖学金实行分期发放的形式，即出国前发放资助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额度的 60%，学成回国（境）后经评估再发放 资助额度的 40%。</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2.国（境）外学期项目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资助等级及名额：设一等奖 2 名，资助额度 2 万元/人；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二等奖 5 名，资助额度 1 万元/人；三等奖 10 名，资助额度 0.5 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元/人。该项目奖学金名额根据各二级学院或部门申请 具体情况及在校研究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生人数可在一定范围内进行调配。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资助发放方式：该项目奖学金实行分期发放的形式，即 出国（境）前发放资助额度的 60%，学成回国（境）后根据学习成绩以及国（境）外表现再核发资助额度的 40%。</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申请条件和评选办法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1.申请人应具备以下条件: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（1）热爱社会主义祖国，拥护党的基本路线、方针和政策，并符合因公出国规定的政审基本条件；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（2）身心健康，品德优良，学风端正，在校期间未受纪律处分；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（3）热爱本专业，学习勤奋，在本校学习期间所有必修课程必须合格；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（4）原则上应具有大学英语四级证书或通过外方组织的 相应语种水平测试，外语水平符合派遣国或地区的外语要求；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（5）考虑到研究生理论学习时间较短，原则上仅派遣二年级及以上学生；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（6）注重学术业绩和成果导向，领导小组原则上根据申请人所在学科的综合测评排名进行综合考量；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（7）在校期间，获得硕士研究生国家奖学金、研究生一/二等学业奖学金、单项奖学金、荣誉称号的或家庭经济困难 的学生在同等条件下优先；有国外资助的、有导师资助的或有优秀学术成果的学生在同等条件下优先；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（8）符合国（境）外交流项目所在二级学院或部门制订 的其他评选条件。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2.评选办法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研究生赴（国）境外交流奖学金每年评选一次，原则上在十一月份受理和评选当年申请出国（境）交流的在校研究生申请及奖学金资助等级。具体程序如下：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（1）国（境）外交流项目所在二级学院或部门应根据不 同的国（境）外交流项目的要求制订符合本学院或本部门实 际的国（境）外交流奖学金评选实施细则，并参照学校领导小组人员组成方式成立国（境）外交流奖学金评选工作小组（以下简称工作小组），并报学校领导小组审定。赴国（境）外交流奖学金评选实施细则应体现“公开、公平、公正”及 “择优录取，宁缺毋滥”的原则；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（2）申请相关项目奖学金资助的学生如实填写《浙江科技学院研究生赴国（境）外交流奖学金资助申请表》，提交给学生所在二级学院进行审核；</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（3）由学生所在二级学院审核同意后，提交项目所在二级学院或部门工作小组审核和评选，并初步拟定奖学金资助对象及等级；</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（4）项目所在二级学院或部门工作小组初审后，提交领导小组办公室审核，并报领导小组最终审定；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（5）领导小组办公室在校园网上进行公示，并根据公示情况统一公布最终评选结果；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（6）领导小组办公室负责奖学金发放名单、类型和金额的汇总工作，报研究生处，由研究生处、计财处负责奖学金的具体发放工作。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 五条 条  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1.本办法适用于正式注册在读的中国籍研究生, 原则上每位学生在同一类出国（境）交流项目中只能申请一次奖学金，不同类别的项目奖学金可以兼评。特别优秀的学历留学生可参照执行。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2.取得国（境）外合作院校或机构全额或部分奖学金的 学生，视其获得的国（境）外奖学金情况，相应减少学校研 究生赴国（境）外交流奖学金资助金额。由国（境）外机构（含孔子学院）提供工资的实习研究生原则上不再兼评研究 生赴国（境）外交流奖学金。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3.获奖学生如发生以下情况，学校有权取消或追回已发 放的奖学金：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（1）未参加已成功申请的项目；</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（2）出国（境）交流期间违反国家外事纪律或相关法律 法规；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（3）出国（境）交流期间，未完成学习和交流任务，学习成绩不合格；学风不正，学术不规；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（4）无正当理由未按期返校；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（5）学校认定的其他情况。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4.获得国家留学基金委相关交流项目奖学金资助的学生，原则上不再兼评研究生赴国（境）外交流奖学金，若国 家留学基金委有特别规定的，报领导小组讨论决定。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5.研究生赴国（境）外交流奖学金的经费由学校以年度 预算方式下拨，由研究生处负责管理。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6.本办法自公布之日起执行。本办法中未尽事宜由领导小组讨论确定，本办法由国际交流合作处（港澳台工作办公室）会同研究生处负责解释。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浙江科技学院关于进一步加强来华留学生管理工作的实施意见</w:t>
      </w:r>
    </w:p>
    <w:p>
      <w:pPr>
        <w:adjustRightInd w:val="0"/>
        <w:snapToGrid w:val="0"/>
        <w:spacing w:line="520" w:lineRule="exact"/>
        <w:ind w:firstLine="480" w:firstLineChars="200"/>
        <w:jc w:val="center"/>
        <w:rPr>
          <w:rFonts w:ascii="仿宋_GB2312" w:hAnsi="Times New Roman" w:eastAsia="仿宋_GB2312" w:cs="仿宋_GB2312"/>
          <w:b/>
          <w:bCs/>
          <w:color w:val="000000" w:themeColor="text1"/>
          <w:sz w:val="24"/>
          <w:szCs w:val="24"/>
        </w:rPr>
      </w:pPr>
      <w:r>
        <w:rPr>
          <w:rFonts w:hint="eastAsia" w:ascii="仿宋_GB2312" w:hAnsi="Times New Roman" w:eastAsia="仿宋_GB2312" w:cs="仿宋_GB2312"/>
          <w:b/>
          <w:bCs/>
          <w:color w:val="000000" w:themeColor="text1"/>
          <w:sz w:val="24"/>
          <w:szCs w:val="24"/>
        </w:rPr>
        <w:t>浙科院外〔2013〕2 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根据《关于进一步加强来华留学生教育教学和管理工作的意见》（浙科院外〔2013〕1号）精神，为切实加强留学生的学生管理工作，经学校研究决定，现提出如下实施意见：</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一、进一步建立健全留学生学生管理体系，完善留学生管理工作协调机制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1.留学生学生管理指导委员会定期召开工作例会，加强对留学生日常管理的指导和各部门的协同合作。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2.相关职能部门要加强对国际教育学院在学生管理方面的业务指导,国际教育学院参加学校学工例会、校园安全稳定工作例会等。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3.建立国际教育学院与其它二级学院之间的留学生工作协调机制，有针对性地召开专题研讨，加强学工线与教学线之间的协同配合。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4.各二级学院留学生工作小组不定期召开工作协调会，加强对留学生的管理，特别要加强留学生学风考风建设。</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二、进一步加强留学生管理队伍建设，加大留学生管理人员培养力度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加强留学生管理队伍建设。根据教育部有关规定，按照辅导员与留学生（指长期生，一学期在校的长期生按0.5人计算）1：200的比例建立一支数量上相当、素质上与留学生教育相吻合的专职留学生辅导员队伍。留学生辅导员享受《关于进一步加强辅导员班主任队伍建设的实施办法》（浙科院党发〔2011〕4号）中规定的相关待遇。留学生较多的二级学院应配备英语水平较好的辅导员，协助国际教育学院进行留学生日常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加强留学生专职辅导员队伍的管理。留学生专职辅导员队伍实行学校和学院“双重领导”体制。学生处负责留学生专职辅导员的宏观管理，包括辅导员招聘、培训、考核等，国际教育学院对所属留学生专职辅导员进行直接领导和管理，包括日常工作的管理、督促、检查和工作条件、生活待遇落实等。学生处和国际教育学院根据留学生工作具体特点制定留学生专职辅导员的招聘办法与考核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加大留学生管理队伍培养力度。将国际教育学院辅导员纳入学校辅导员培训体系，国际教育学院辅导员参加学生处组织的各类辅导员培训；国际教育学院每年组织一次专、兼职留学生管理人员专门培训；根据业务发展需要，不定期组织管理人员外出考察、学习，提高业务水平。</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根据《浙江科技学院来华留学生管理规定》精神，各二级学院落实班主任（或指导教师）制度，成建制的班级至少配备1名班主任，留学生人数较少的二级学院为留学生配备专门的指导教师，切实履行《浙江科技学院来华留学生管理规定》中规定的班主任（或指导教师）工作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三、进一步完善留学生管理制度，不断夯实制度化管理基础</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1.国际教育学院负责进一步修订、完善留学生学生管理的各项规章制度，实现留学生管理制度化、规范化。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2.国际教育学院定期更新《留学生手册》，加大各项规章制度的宣传力度，对重要规章制度实施签字承诺制。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3.国际教育学院制定《留学生管理人员工作手册》，明确管理人员具体职责及相关工作流程等。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 国际教育学院与保卫处、学生处共同制定《浙江科技学院来华留学生突发事件应急处置预案》，明确来华留学生突发事件处理的组织机构、报告制度、基本原则、反应机制、处置流程等。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四、进一步加强留学生各项管理，不断提高管理水平</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1.加强留学生学风建设，每学期开展一次学风建设月活动，以学风建设月为载体，进一步营造学生努力学习、积极向上的学习氛围，同时加强考风考纪的宣传与教育工作。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2.加强留学生文化建设，以国际教育学院“一院一品”为主体，开展校园文体活动，丰富留学生校园文化生活，搭建留学生和中国学生的文化互动机制和交流平台。</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逐步建立科学合理的留学生奖惩体系，通过“浙江科技学院十佳留学生”及各类奖学金评选，积极引导和鼓励留学生全面协调发展，有效推动留学生各类公益活动、社会实践活动及文体活动的开展。结合留学生教育特点，参照《浙江科技学院学生违纪处分条例》规范留学生违纪处分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成立留学生学生会，建立健全留学生学生会运行机制，加强学生自我服务、自我管理；成立留学生社团，丰富留学生第二课堂活动，提高留学生素质。学校学生会和社团联合会应加强对留学生学生会和社团的指导和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5.加强校友工作，建立健全校友档案，条件成熟时在留学生校友集中的国家成立校友会，设立校友日，开展系列校友活动，加强与校友的联络，充分发挥校友在学校国际化建设中的促进作用。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6.加强留学生安全稳定工作。加大与公安机关、社区的沟通、协调力度，建立校内外联动机制；在留学生中建立信息员队伍，建立留学生预警机制，加大舆情研判。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加强留学生住宿管理。坚持辅导员入住留学生宿舍，实行门卫24小时值班制度，留学生管理人员每周对留学生宿舍楼至少巡查1次，检查宿舍楼的卫生状况及各项设施的使用状况；严格校外住宿审批手续，加强校外住宿学生走访工作，对所有外住学生实施动态管理，及时进行相关信息更新，同时做好校外住宿留学生的安全教育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8.加强留学生出入境管理工作。邀请杭州市出入境管理局等有关部门来校开展出入境法律法规教育；采用浙江省境外人员信息采集系统，实现境外人员基础信息动态管理，避免出现非法居留。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9.加强留学生收费管理。留学生管理工作人员定期催缴各项费用，对欠费严重的留学生根据规章制度适时给予退学处理。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五、进一步加强留学生各项服务，不断提高服务水平</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1.加强留学生新生始业教育工作，举办出入境知识讲座，开展禁毒知识普及宣传，加大相关法律法规和规章制度的宣传力度，使留学生及时全面了解各项法律法规、规章制度，强化留学生遵纪守法的意识。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2.为留学生新生提供“一站式”入学服务和配备“一对一”语言学习伙伴的志愿者服务，帮助留学生尽快适应新环境。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3.加强留学生心理健康教育，配备专职心理健康教师，帮助留学生尽快适应不同文化背景下的大学学习生活。</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4.加强图书馆服务工作，成立图书馆留学生服务中心，对留学生进行全英文入馆培训，为留学生提供双语图书馆使用指南和图书荐阅服务等。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5.充分利用境外人员服务站，为留学生提供涉外法律、法规的宣传与咨询以及临时住宿登记管理等便捷服务。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6.根据留学生饮食特点及需求，增设特色餐饮，提供饮食多样化服务，提高食堂供应能力。</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7.加强留学生宿舍文化建设，通过在留学生宿舍楼设立留学生文体活动室，开辟国际交留学生摄影作品展示区、多国文化走廊等形式，营造活泼、多元、温馨的住宿环境。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color w:val="000000" w:themeColor="text1"/>
          <w:sz w:val="30"/>
          <w:szCs w:val="30"/>
        </w:rPr>
        <w:t>浙江科技学院来华留学生管理规定</w:t>
      </w:r>
    </w:p>
    <w:p>
      <w:pPr>
        <w:spacing w:line="600" w:lineRule="exact"/>
        <w:jc w:val="center"/>
        <w:rPr>
          <w:rFonts w:ascii="方正小标宋简体" w:hAnsi="宋体" w:eastAsia="方正小标宋简体" w:cs="方正小标宋简体"/>
          <w:b/>
          <w:color w:val="000000" w:themeColor="text1"/>
          <w:sz w:val="28"/>
          <w:szCs w:val="28"/>
        </w:rPr>
      </w:pPr>
      <w:r>
        <w:rPr>
          <w:rFonts w:hint="eastAsia" w:ascii="方正小标宋简体" w:hAnsi="宋体" w:eastAsia="方正小标宋简体" w:cs="方正小标宋简体"/>
          <w:b/>
          <w:color w:val="000000" w:themeColor="text1"/>
          <w:sz w:val="28"/>
          <w:szCs w:val="28"/>
        </w:rPr>
        <w:t>浙科院外〔2016〕1 号</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为促进我校来华留学生教育的健康发展，依据《高等学校接受来华留学生管理规定》（教育部令第9号）和《 浙江科技学院学生管理规定》（浙科院政〔2005〕120号），制定本规定。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本规定适用于我校所有来华留学生。</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第二章  留学生的权利与义务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来华留学生在校期间依法享有下列权利：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1.参加学校安排的各项教学活动，使用学校提供的教育教学资源；</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2.参加社会服务、勤工助学，在校内参加学生社团及文娱体育等活动；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3.在思想品德、学业成绩等方面获得公正评价，完成学校规定学业后获得相应的证书；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4.对学校给予的处分或处理有异议，向学校或教育行政部门提出申诉；对学校、教职员工侵犯其人身权、财产权等合法权益，提出申诉或依法提起诉讼；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5.中国法律法规规定的其它权利。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来华留学生在校期间依法履行下列义务：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1.遵守中国法律法规；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2.遵守学校各项规章制度和入学承诺；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3.努力学习，完成学校规定学业；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4.按规定及时缴纳学费及有关费用；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5.遵守学校行为规范，尊敬师长，养成良好的思想品德和行为习惯；</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6.中国法律法规规定的其他义务。</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第三章  管理分工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国际交流合作处系学校来华留学生教育工作的宏观管理部门，主要负责留学生教育管理工作的宏观政策制订、考核评价和经费核拨；留学生管理中心系全校来华留学生的归口管理部门，具体负责留学生招生、留学生教育项目拓展、短期团组接待、留学生日常管理与教育（含思想与安全教育、出入境管理、教育部学籍与学历注册、奖助学金管理、文化活动与志愿服务组织、社团管理、学费管理、就业工作、校友工作等）；协助国际处做好二级学院留学生教育工作考核评价和经费分配；协助教务处、研究生处做好留学生培养方案制定及校内学籍管理；协助后勤服务部做好留学生住宿安排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教务处、研究生处分别系来华留学本科生、研究生的教学管理职能部门，具体负责本科层次（含专业进修生）、硕士层次（含高级进修生）留学生培养方案的审核、组织实施、教学教务管理等教学工作的统筹。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其他行政职能处室负责其职责范围内与留学生相关的各项工作。学生处/团委、艺术教育中心协助国际处、留学生管理中心做好学生国际文化活动；计划财务处负责留学生学费收取、留学生经费使用效益监控；资产处负责留学生宿舍的统筹规划和配置；校建处负责留学生宿舍的改建；后勤服务部负责留学生住宿安排、宿舍管理与服务以及与宿舍相关的费用收取，留学生卫生防疫及疾病防控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各二级学院负责与本学院学科、专业相关的专业教育（含语言进修生、专业进修生、本科及硕士学历生）。具体负责留学生招生中的专业审核、留学生教学与教学管理（包含教学计划和教学大纲的制定、教师聘用、专业课程和实习安排、学分审核认定、考试安排及成绩报送、学生证及校徽发放等）、教风学风建设，配合教务处、研究生处做好校内学籍管理，指定专人负责指导来华留学生的选课、补考、缓考、免修、辅修等，协助留学生管理中心做好学生日常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研究生的成绩单由二级学院、研究生处审核出具，学位证书、毕（结、肄）业证书由研究生处统一制作并颁发；本科生的成绩单由二级学院、教务处审核出具，学位证书、毕（结、肄）业证书由教务处统一制作并颁发；专业进修生的成绩单由所属二级学院、教务处审核出具，结业证书由留学生管理中心统一制作。各二级学院需每学年报送所属学院毕业生及各类进修生成绩至档案馆统一存档。</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第四章  招生与录取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学校成立来华留学生招生领导小组。负责确定来华留学生招生计划，处理招生过程出现的特殊情况等。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来华留学生招生宣传资料由留学生管理中心统一制定。招生宣传应实事求是、客观地反映学校实际情况。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汉语进修生的录取名单由留学生管理中心拟定，学历生、专业进修生的录取名单由各相关二级学院与留学生管理中心共同拟定，其中研究生的录取名单须报研究生处审核后，报分管校领导审批。留学生管理中心须根据国家有关规定将来华留学生录取名单报省教育厅、省外办批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学历生（含本科、研究生）的录取工作须严格遵照《浙江科技学院来华留学本科生学籍管理规定》和《浙江科技学院来华留学硕士研究生学籍管理规定》执行。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所有来华留学生的申请材料均由留学生管理中心统一受理。来华签证申请表的报批与寄送、录取通知书的寄送均由留学生管理中心负责。</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第五章  学籍管理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第十五条 硕士研究生的学籍管理按照《浙江科技学院来华留学硕士研究生学籍管理规定》执行，高级进修生的学籍管理参照其执行；本科学历生的学籍管理按照《浙江科技学院来华留学本科生学籍管理规定》执行，普通进修生的学籍管理参照其执行；汉语进修生的教学管理按照《浙江科技学院来华留学汉语进修生教学管理规定》执行。</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第六章  辅导员及班主任（或指导教师）工作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第十六条 学校对来华留学生管理实施辅导员及班主任（或指导教师）负责制。辅导员由留学生管理中心聘请专人担任；班主任（或指导教师）由各二级学院指定人员担任，并于开学初一个星期内报留学生管理中心备案。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第十七条 辅导员具体职责如下：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负责来华留学生日常管理，包括新生接待、法律法规教育、校纪校规教育、思想动态掌握、安全教育、相关住宿和联络信息完善、费用催缴等；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负责来华留学生的公安外管工作，包括临时住宿登记、学生体检、居留许可办理等；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 负责来华留学生突发事件的应对处置和保险理赔工作；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 负责来华留学生日常文化活动、志愿服务及社团管理工作；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 负责来华留学生心理健康咨询，承担心理健康课程等工作；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 负责各类奖助学金的管理及发放工作；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 负责来华留学生就业及校友工作；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 负责全校留学生班主任的管理和考核工作；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9. 负责来华留学生住宿的沟通协调工作。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第十八条 班主任（或指导教师）具体职责如下：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1.及时讲解国家的对外政策，讲解与来华留学生有关的相关法律、法规和学校的规章制度；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2.及时、准确地将相关二级学院和留学生管理中心的各项通知传达给来华留学生；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3.掌握学生的联系方式，并与任课教师沟通，及时掌握来华留学生的出勤情况、学习动态、思想动态等，发现问题及时解决并上报所在二级学院及留学生管理中心，出勤率每月初向留学生管理中心报送；</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4.做好与来华留学生相关的数据统计工作，以确保留学生信息的准确与综合档案的完整；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5.及时处理偶然性、突发性事件等；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6.配合留学生管理中心开展相关工作。</w:t>
      </w:r>
    </w:p>
    <w:p>
      <w:pPr>
        <w:adjustRightInd w:val="0"/>
        <w:snapToGrid w:val="0"/>
        <w:spacing w:line="520" w:lineRule="exact"/>
        <w:ind w:firstLine="480" w:firstLineChars="200"/>
        <w:jc w:val="center"/>
        <w:rPr>
          <w:rFonts w:ascii="仿宋_GB2312" w:hAnsi="Times New Roman" w:eastAsia="仿宋_GB2312" w:cs="仿宋_GB2312"/>
          <w:color w:val="000000" w:themeColor="text1"/>
          <w:sz w:val="24"/>
          <w:szCs w:val="24"/>
        </w:rPr>
      </w:pPr>
      <w:r>
        <w:rPr>
          <w:rFonts w:hint="eastAsia" w:ascii="仿宋_GB2312" w:hAnsi="Times New Roman" w:eastAsia="仿宋_GB2312" w:cs="仿宋_GB2312"/>
          <w:b/>
          <w:color w:val="000000" w:themeColor="text1"/>
          <w:sz w:val="24"/>
          <w:szCs w:val="24"/>
        </w:rPr>
        <w:t>第七章  校园秩序与课外活动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第十九条 学校应维护校园正常秩序，保障来华留学生的正常学习和生活。</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第二十条 来华留学生应自觉遵守学校管理制度，创造文明、整洁、优美、安全的学习和生活环境。不得酗酒、打架斗殴、赌博、吸毒；不得传播、复制、贩卖非法书刊和音像制品；不得出版、印刷、散发未经学校批准的宣传品、印刷品；不得参与非法传销、邪教和封建迷信活动；不得从事或参与有损大学生形象、有损中国和学校声誉、有损社会公德的活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第二十一条 任何组织和个人不得在校内进行宗教活动。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第二十二条 来华留学生可在校内组织、参加学生社团。组织或成立社团，须根据《浙江科技学院学生社团管理条例（试行）》（浙科院团〔2006〕29号）要求提出书面申请，报学校批准。留学生社团应在中国宪法、法律法规和学校管理制度范围内活动，接受学校的领导和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第二十三条 学校提倡并支持来华留学生开展有益于身心健康的学术、科技、艺术、文娱、体育等活动。来华留学生课外活动不得影响学校正常的教育教学秩序和生活秩序。</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 xml:space="preserve"> 第八章  奖励与处分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第二十四条 留学生管理中心负责组织实施来华留学生各类奖学金的评定工作。相关二级学院根据各类奖学金规定负责本学院学历生相关奖学金的学生推荐工作，人文与国际教育学院负责学校优秀汉语言进修生奖学金、HSK 奖学金的评审工作。具体校内奖学金的评定参照《浙江科技学院来华留学生奖助学金评选条例》执行。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第二十五条 中国政府奖学金、孔子学院奖学金、浙江省政府来华留学生奖学金的评定参照其具体评选办法执行。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第二十六条 对有违法、违规、违纪行为的留学生，学校给予批评教育或纪律处分。具体由留学生管理中心参照《浙江科技学院学生违纪处分条例》执行。</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第九章  签证或居留许可</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第二十七条 来华留学生一般应当持普通护照和“X”或“F”字签证办理学习注册手续。</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第二十八条 留学生管理中心负责来华留学生来华签证和居留许可办理的相关事宜，包括报批与寄送来华签证申请表、出具邀请函、出具办理居留许可公文、协助留学生办理首次居留许可等。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第二十九条 来华留学生申请居留许可有效期限的长短由留学生管理中心根据留学生申请学习的年限及费用交纳情况决定。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第三十条 来华留学生未来校注册或中途退学，留学生管理中心应及时告知公安机关出入境管理部门。</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第十章  费用</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第三十一条 来华留学生申请费、学费按照浙江省物价局核准的标准范围内收取，留学生校内住宿费按照浙江省物价局备案的标准范围内收取。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第三十二条 来华留学生应在开学后两周内交纳学杂费、住宿费及其它按规定需缴纳的费用，未交清费用者不予办理注册手续。特殊情况需向留学生管理中心提出申请，经同意后方可缓交，缓交不得超过一个月，超过一个月仍不缴纳相关费用者给予退学处理。未按规定缴纳学费者，所修读课程成绩无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第三十三条 学生因退学、开除、休学、转学、出国等原因提前结束学业的，根据学生实际学习时间，按月计算应退学年专业学费和学分学费。实际学习的起始时点为开学日，截至时点为（办妥）离校手续日，30天折算一个月，不足30天的按1个月计算，一学年按10个月计算，学分学费均按实际已修学分多退少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第三十四条 开学一个月后原则上不再接受本学期来华留学生的报名申请，如确需就读，按实际学习月份缴纳学费。</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第十一章  住宿管理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第三十五条 来华留学生在校内住宿须遵守《浙江科技学院来华留学生住宿须知》。</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第三十六条 来华留学生如入住学校留学生宿舍，需向后勤服务部提出申请，由后勤服务部统一安排。如入住校外，需报留学生管理中心和后勤服务部批准。入住校外学生应遵守公共社会秩序，服从社区管理。更换校外住宿地址需在24小时内上报公安机关及留学生管理中心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第三十七条 接收校际交流生的各二级学院须在每年5月30日、11月30日前向后勤服务部提交下一学期入住学校留学生宿舍的校际交流生名单，由后勤服务部统筹。</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 xml:space="preserve"> 第十二章  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第三十八条 本规定由留学生管理中心负责解释，未尽事宜按照《浙江科技学院学生管理规定》执行。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第三十九条 本规定自学校发文之日起执行。原《浙江科技学院来华留学生管理规定》（浙科院政〔2013〕4号）同时废止。</w:t>
      </w:r>
    </w:p>
    <w:p>
      <w:pPr>
        <w:widowControl/>
        <w:jc w:val="left"/>
        <w:rPr>
          <w:rFonts w:ascii="仿宋_GB2312" w:hAnsi="Times New Roman" w:eastAsia="仿宋_GB2312" w:cs="仿宋_GB2312"/>
          <w:color w:val="000000" w:themeColor="text1"/>
          <w:sz w:val="24"/>
          <w:szCs w:val="24"/>
        </w:rPr>
      </w:pPr>
      <w:r>
        <w:rPr>
          <w:rFonts w:ascii="仿宋_GB2312" w:hAnsi="Times New Roman" w:eastAsia="仿宋_GB2312" w:cs="仿宋_GB2312"/>
          <w:color w:val="000000" w:themeColor="text1"/>
          <w:sz w:val="24"/>
          <w:szCs w:val="24"/>
        </w:rPr>
        <w:br w:type="page"/>
      </w:r>
    </w:p>
    <w:p>
      <w:pPr>
        <w:spacing w:line="600" w:lineRule="exact"/>
        <w:jc w:val="center"/>
        <w:rPr>
          <w:rFonts w:ascii="方正小标宋简体" w:hAnsi="宋体" w:eastAsia="方正小标宋简体" w:cs="方正小标宋简体"/>
          <w:b/>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浙江科技学院研究生科研成果奖励办法</w:t>
      </w:r>
      <w:r>
        <w:rPr>
          <w:rFonts w:hint="eastAsia" w:ascii="方正小标宋简体" w:hAnsi="宋体" w:eastAsia="方正小标宋简体" w:cs="方正小标宋简体"/>
          <w:b/>
          <w:color w:val="000000" w:themeColor="text1"/>
          <w:sz w:val="30"/>
          <w:szCs w:val="30"/>
        </w:rPr>
        <w:br w:type="textWrapping"/>
      </w:r>
      <w:r>
        <w:rPr>
          <w:rFonts w:hint="eastAsia" w:ascii="方正小标宋简体" w:hAnsi="宋体" w:eastAsia="方正小标宋简体" w:cs="方正小标宋简体"/>
          <w:b/>
          <w:bCs/>
          <w:color w:val="000000" w:themeColor="text1"/>
          <w:sz w:val="30"/>
          <w:szCs w:val="30"/>
        </w:rPr>
        <w:t>（试行）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为进一步培养研究生的创新意识与创新能力，提高研究生的科研能力和学术水平，激发我校研究生的科研潜能，鼓励研究生多出高质量的创新性科研成果，特制定本办法。</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一、奖励对象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我校在读研究生(含来华来华留学研究生），以第一作者（第一完成人）完成的成果。</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二、奖励范围及标准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（一）按照《浙江科技学院标志性科研业绩奖励办法》（浙科院科〔2015〕7号）所列内容及计分标准计算。</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（二）所奖励的成果必须为研究生在我校学习期间研究所得。</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（三）各项成果须以“浙江科技学院”为第一署名单位，研究生本人为第一完成人。同一科研成果，指导老师已申报学校科研处奖励的，由指导老师进行奖励分配，不重复对研究生进行单独奖励。</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三、申报程序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（一）研究生科研成果奖励按年度实施，具体时间以研究生处的通知为准。未按时提交佐证材料的不予受理。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（二）研究生本人准备科研成果复印件（原件备查）一份，填写《研究生科研成果统计表》，上交所在学院。</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（三）各学院审核研究生的申报成果，将成果复印件(原件备查）上交研究生处，研究生处负责审核并校内公示。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（四）奖金由学校财务按规定发放，涉及个人所得税按国家有关规定缴纳。</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四、附则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（一）在申报、审核和奖励过程中，如发现弄虚作假，或抄袭、剽窃他人成果者，一经查明属实，立即撤销奖励，追回奖金，并根据情节轻重给予相应处分。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（二）未列入《浙江科技学院标志性科研业绩奖励办法》（浙科院科〔2015〕7号）奖励范围的科研成果，由各二级学院根据学院学科特点制定奖励办法，予以奖励并报研究生处备案。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（三）本办法自公布之日起试行，由研究生处负责解释。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浙江科技学院研究生学术道德规范（试行）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为弘扬求实创新精神，营造严谨踏实的优良学风，维护学术道德，规范学术行为，严明学术纪律，根据《中华人民共和国著作权法》、《中华人民共和国专利法》、《中华人民共和国民法通则》、《中华人民共和国学位条例》等国家法律法规，教育部《关于加强学术道德建设的若干意见》、教育部《高等学校科学技术学术规范指南》和《高校人文社会科学学术规范指南》，结合学校研究生教育的实际情况，特制定本规范。本规范适用于具有浙江科技学院正式学籍的研究生。</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一、研究生学术道德规范基本要求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1．严格遵守国家法律法规，保护知识产权，尊重他人劳动成果和技术权益。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2．忠于科学，探求真理，诚实守信，客观公正，严谨治学，服务社会。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3．刻苦学习，严肃认真，坚韧不拔，勇于创新，自强不息，洁身自律。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4．严格遵守学术研究和学术活动的基本规范，认真执行学术刊物引文规范，杜绝弄虚作假、抄袭剽窃现象。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5．正确对待学术研究和学术活动中的名利与收益，严禁沽名钓誉、损人利己行为，反对急功近利、粗制滥造现象。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坚持文责自负的原则，对学位论文和其他自主发表的学术著作独立承担法律责任，发现同学有违反学术道德的行为要劝阻和制止，对严重违反者要及时向学校报告，敢于同不良学术风气作斗争，维护优良的学术氛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7．在校期间和毕业以后都要始终如一，严以律己，自觉遵守学术规范和维护学校学术声誉。</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二、研究生在科学研究和学术活动中的学术道德要求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1．凡引用他人已经发表或未发表的成果、数据、观点等，均应明确说明并详细列出有关文献的名称、作者、年份等细节，已经出版的文献还要列出出版机构、出版地和版次等内容。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研究生署名“浙江科技学院”或导师姓名（不论排名）所发表的学术论文原始稿件必须经过导师审核，否则在学位授予时不予认可。发表学术论文有其他作者的署名也必须征得署名者的同意。在标注各级项目资助时，必须经过导师或项目负责人书面授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3．研究生答辩时发表论文的清单必须经过导师签字同意。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4．合作成果中对本人完成的部分负责；不在未参加实际研究的成果中署名；不一稿多投，不重复发表自己的研究成果。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5．不故意夸大研究成果的科技含量、学术价值、经济或社会效益。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6．严禁侵占、抄袭、剽窃他人学术成果（包括论文成果、技术报告和研究数据等）；严禁请他人代写文章或代他人写文章；未经学校允许，严禁将浙江科技学院成果变为非浙江科技学院的成果。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7．严禁篡改、伪造研究数据（包括试验数据、调查数据等）；严禁隐瞒不利数据从而用于伪造创新成果和新发现。</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8．严禁虚开或篡改发表文章接受函；严禁以不正当手段影响研究成果鉴定、奖学金评定、论文评阅、论文答辩和考试成绩等；严禁填报、提供虚假的学术经历、学术成果；严禁伪造、变造证书或其他学术能力的材料；严禁伪造导师或专家推荐信及其他评定（或审批）意见和导师、领导或专家签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9．严格遵守国家有关保密工作的法律法规和学校有关保密工作的规定，严禁将应保密的学术事项对外泄漏。未经导师或项目负责人许可，严禁将集体研究成果私自发表。严禁盗用、贩卖或擅自传播课题组技术专利、专有数据、保密资料等未公开的技术成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10．严禁诽谤、陷害、恐吓、报复、辱骂和恶意攻击导师、授课教师、领导、论文（或成果）评审人和有关同学等。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11．在各类考试中，严禁以任何形式作弊、盗用试题、买卖（或传播）盗用的试题、篡改考试成绩。</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12．严禁在承担助教、助研和助管工作中以职谋私。</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13．遵守学术界公认的其他学术道德规范。 </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三、违反学术道德规范的处理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1．对研究生涉嫌学术道德失范行为的处理，坚持程序正当、证据充分、依据明确、定性准确、处理恰当的方针；坚持公平、公正原则，坚持教育与处分相结合的原则，坚持保障研究生申诉权的原则。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2．研究生违反学术道德规范者，经查实后视情节严重程度将分别给予批评教育、勒令改正、延缓答辩、取消相关奖项，直至取消学位等处理。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3．违反学术道德特别严重而触犯法律者，移交司法机关依法追究法律责任。</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4．导师对研究生疏于管理，致使研究生违反学术道德规范，学校将视情节严重程度给予导师公开批评、停止招生，直至取消导师资格等处理。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5．学校研究生管理部门负责受理研究生学术道德失范问题的举报、投诉和处理。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浙江科技学院研究生学业奖学金实施办法（试行）</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 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根据《财政部 教育部关于印发&lt; 研究生学业奖学金管理暂行办法&gt;的通知》（财教〔2013〕219号）和《浙江省财政厅 浙江省教育厅关于做好研究生奖助工作的通知》（浙财教〔2014〕3号），结合浙江科技学院研究生教育发展战略规划，制定本实施办法。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为激励研究生勤奋学习、潜心科研、勇于创新、积极进取，在全面实行研究生收费制度的情况下更好地支持研究生顺利完成学业，从2014年秋季学期起，设立研究生学业奖学金。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研究生学业奖学金的评选对象为纳入全国研究生招生计划、具有中华人民共和国国籍的全日制研究生。</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第二章 奖励比例、标准与基本条件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研究生学业奖学金获奖等级、金额、比例如下：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一年级硕士研究生，一等奖每生每年10000元，比例为参评对象的20%，二等奖每生每年8000元，比例为参评对象的80%。</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二、三年级硕士研究生，一等奖为每生每年12000元，比例为参评对象的10%，二等奖为每生每年10000元，比例为参评对象的30%，三等奖为每生每年8000元，比例为参评对象的60%。</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申请研究生学业奖学金的基本条件：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热爱社会主义祖国，拥护中国共产党的领导；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遵守宪法和法律，遵守高校规章制度，尊敬师长，无不良记录；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 诚实守信，品学兼优，学风优良，无学术不端行为；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 学习成绩优异，科研能力显著，发展潜力突出；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 积极参加科学研究和社会实践；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 按学校规定时间进行学籍注册、缴纳学费；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7. 学位课、必修课或指定选修课成绩均无不及格记录。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研究生学业奖学金每学年评审一次。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研究生学业奖学金的评定标准应充分考虑研究生的学习成绩、科研成果、社会服务、二级学院和导师对其的综合评价等内容；评定标准应进行量化，所产生的评定结果应以百分制综合评分的形式进行反映，便于对研究生情况进行对比。研究生学业奖学金各等级具体的评定标准、申报程序等实施细则另行制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凡在本学年中受到各类处分及学校、各二级学院通报批评、学术研究中有弄虚作假行为、延长学业以及学校认定的其他情况等，均无资格申请研究生学业奖学金。已获得研究生学业奖学金，被发现有上述情况者，撤销奖学金获奖资格，并收回奖学金。</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第三章 评审机构与程序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学校成立由主管校领导、研工部、研究生处、计财处、纪委、科技处等相关职能部门负责人及研究生导师代表组成的研究生学业奖学金评审领导小组，评审领导小组按照浙江省财政厅和教育厅的有关规定，负责制定本校研究生学业奖学金评审实施细则，制订名额分配方案，统筹领导、协调和监督本校评审工作，并裁决有关申诉事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各二级学院成立由主要领导任主任委员，研究生导师、研究生行政管理人员、研究生学生代表任委员的研究生学业奖学金评审委员会，负责本单位研究生学业奖学金的申请组织和初步评审工作。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评审程序</w:t>
      </w:r>
    </w:p>
    <w:p>
      <w:pPr>
        <w:adjustRightInd w:val="0"/>
        <w:snapToGrid w:val="0"/>
        <w:spacing w:line="520" w:lineRule="exact"/>
        <w:ind w:firstLine="600" w:firstLineChars="25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二级学院研究生学业奖学金评审委员会确定本单位获奖学生名单后，应在本学院内进行不少于3个工作日的公示。公示无异议后，提交学校研究生学业奖学金评审领导小组审定，审定结果在全校范围内进行不少于2个工作日的公示。</w:t>
      </w:r>
    </w:p>
    <w:p>
      <w:pPr>
        <w:adjustRightInd w:val="0"/>
        <w:snapToGrid w:val="0"/>
        <w:spacing w:line="520" w:lineRule="exact"/>
        <w:ind w:firstLine="600" w:firstLineChars="25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公示期内有异议者，可在二级学院公示阶段向所在学院评审委员会提出申诉，评审委员会应及时研究并予以答复。如申诉人对二级学院作出的答复仍存在异议，可在学校公示阶段向研究生学业奖学金评审领导小组提请裁决。</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研究生学业奖学金的评审工作，应坚持公开、公平、公正、择优的原则，严格执行有关规定，杜绝弄虚作假。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当年研究生学业奖学金于每年11月30日前一次性发放给获奖学生，并将获得学业奖学金情况计入学生学籍档案，并将发放情况报省教育厅、省财政厅。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研究生学业奖学金的资金专款专用，接受校审计、纪委等部门的检查和监督。</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第四章 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第十五条 本实施办法自2014年9月1日起试行。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第十六条 本实施办法由研究生处负责解释。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浙江科技学院院长办公室 </w:t>
      </w: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2014年6月26日印发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w:t>
      </w: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研究生国家奖学金评审办法（试行）</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为进一步激励研究生勤奋学习，潜心科研，积极进取，促进研究生教育创新，提高人才培养质量，根据财政部、教育部关于印发《普通高等学校研究生国家奖学金评审办法》（财教〔2014〕1号），结合学校研究生教育工作实际，制定本实施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研究生国家奖学金由中央财政拨款设立，每年评审一次，用于奖励普通高等学校中表现优异的全日制研究生。</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第二章 奖学金奖励标准与申报条件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硕士研究生国家奖学金奖励标准为每生每年2万元人民币。我校获得研究生国家奖学金名额，按照财政部、教育部当年下达的任务执行。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研究生国家奖学金基本申请条件：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热爱社会主义祖国，拥护中国共产党的领导；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遵守宪法和法律，遵守高校规章制度，尊敬师长，无不良记录；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 诚实守信，品学兼优，学风优良，无学术不端行为；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 学习成绩优异，科研能力显著，发展潜力突出；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 积极参加科学研究和社会实践；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凡本年度有下列情形之一的，无资格参评研究生国家奖学金：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1.违反国家法律、校纪校规受纪律处分者；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2.所修课程成绩不合格者；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3.有抄袭剽窃、弄虚作假等学术不端行为经查证属实者；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4.学籍状态处于休学、保留学籍、延长学习期者；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5.未按规定时间交费注册者。</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第三章 奖学金评审机构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学校成立研究生国家奖学金评审领导小组，由分管校领导、研究生处、计财处、纪委、科技处等相关职能部门负责人、研究生培养单位负责人及研究生导师代表组成。负责制定本校研究生国家奖学金评审实施细则，制订名额分配方案，统筹领导、协调和监督本校评审工作，并裁决有关申诉事项。评审办公室设在研究生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各二级学院成立研究生国家奖学金评审委员会，由主要负责人任主任委员，研究生导师、研究生学科秘书、研究生学生代表任委员。组成人员名单由所在单位评审委员主任负责审核，并应于评审前向所在单位公布，同时报研究生处备案。各二级学院研究生国家奖学金评审委员会应制定本单位评审实施细则，负责本单位研究生国家奖学金的申请组织、初步评审等工作。</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第四章 奖学金评审原则与程序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研究生国家奖学金的评审工作，应按照国家有关教育法规和学校规章制度严格执行，坚持公开、公平、公正、择优的原则，杜绝弄虚作假。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对新入学的研究生，从研究生招生考试相关成绩、本科阶段的科研成果及社会实践等综合能力三方面评审；对二、三年级研究生，以综合测评结果为依据，从道德品质、学习成绩、社会实践及科研创新等四个方面评审。各二级学院评审委员会须根据此规定精神，结合各自学科特点制定相应细化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学校研究生国家奖学金评审领导小组根据各二级学院研究生规模、培养质量以及上一年度研究生国家奖学金执行情况，制定研究生国家奖学金年度名额分配方案。对培养质量较高的基层单位、学校特色优势学科、基础学科和国家亟需学科予以适当的倾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对本年度已获得研究生国家奖学金的研究生，下年度参评研究生国家奖学金时其科研及其他学习成果不得重复申报、认定。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凡符合本办法规定条件攻读硕士学位的全日制非在职研究生均有资格申请。当年毕业的研究生不再具备申请研究生国家奖学金资格。申请研究生国家奖学金的研究生，本人应如实填写《浙江科技学院研究生国家奖学金申请审批表》，向二级学院评审委员会提出申请。</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各二级学院评审委员会主任委员负责组织各位委员对申请国家奖学金的研究生进行初步评审。学院评审委员会确定本学院初审推荐名单后，应在本单位内进行不少于5个工作日的公示。公示无异议后，提交校研究生国家奖学金评审领导小组。校研究生国家奖学金评审领导小组进行复审和审定，结果在学校全范围内进行不少于5个工作日的公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对研究生国家奖学金评审结果有异议的研究生，可在二级学院公示阶段向所在学院评审委员会提出申诉，评审委员会应及时予以答复和解决。如研究生对二级学院做出的答复仍存在异议，可在学校公示阶段向校研究生国家奖学金评审领导小组提请裁决。</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第五章 附则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学校按要求将当年研究生国家奖学金一次性发放给获奖研究生。学校将研究生获得国家奖学金情况记入研究生学籍档案，并颁发国家统一印制的荣誉证书。</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第十五条 评审过程中若发现申请人有弄虚作假、违反学术诚信的行为以及学校认定的其他情况等，经有关部门认定后，如在国家奖学金评审过程中，则取消该生当年国家奖学金参评资格；如在整个评审工作结束后，则收回该生已获得的国家奖学金及证书。情节严重的，取消该生在本年度所有荣誉参评资格，并根据情节轻重给予相应处分。</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第十六条 本办法自公布之日起试行，由研究生处负责解释。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浙江科技学院硕士研究生指导教师遴选工作实施细则（试行）</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 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为了促进研究生教育的发展，根据国务院学位委员会关于硕士研究生指导教师（以下简称硕导）的有关要求，结合我校实际情况，特制定本实施细则。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硕导的选聘工作应严格执行“坚持标准，公正合理”的原则，以适应学校研究生的培养规模和培养质量的要求为出发点，充分发挥二级学院学位评定分委员会和学校学位评定委员会的作用。</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第二章 硕导遴选条件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具有良好的政治思想素质、学术道德和工作作风，治学态度严谨，热爱研究生教育事业，熟悉国家有关研究生教育政策法规，教书育人，为人师表，能认真履行导师职责。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具有副教授（或相当专业技术职务）以上专业技术职称，能坚持正常工作，担负起实际指导硕士研究生的职责。具有丰富的教学和科研工作经验，独立、完整主讲过本专业课程，教学效果良好。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硕导申请者一般应具有硕士以上学位，未满40周岁者应具有博士学位；不具有硕士以上学位者须有协助指导全日制硕士研究生经验（新增硕士学位点3年内除外）。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研究方向明确、相对稳定，近年来在本学科领域内有较高水平的科研成果。作为第一作者在核心学术期刊上发表论文4篇以上；或者理工类教师近5年内作为主要获奖者（前3名）获得省部级以上教学、科研成果奖1项以上，人文社科类教师近5年内作为主要获奖者（前3名）获得厅局级以上教学、科研成果奖1项以上。作为第一发明人获得1项授权发明专利、1篇一级期刊论文或SCI、SSCI、A&amp;HCI、EI收录的学术期刊论文、1部学术专著等同于3篇核心学术期刊论文。</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人文社科权威级学术期刊、国内一级期刊参照《浙江大学学术期刊名录》(最新版)；国内核心期刊参照《中文核心期刊要目总揽》（北京大学出版社出版，最新版），下同。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近3年内立项主持省部级科研项目1项以上。可支配在研项目研究经费：工科类10万元以上，理科类5万元以上，人文社科类2万元以上。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第四、第五条仅有一项不符合条件，但符合以下条件之一者可以申请破格：1.正高级职称；2.理工类教师近5年内立项主持国家级科研项目1项以上，人文社科类教师近5年内立项主持省部级重点以上科研项目超过1项，或省部级以上科研项目超过2项；3.近5年内作为主要获奖者（前2名）获得省部级以上科研、教学成果奖；4.有较强的科学研究和成果转化能力，近5年内作为第一发明人获得授权发明专利2项以上，或开发具有学校自主知识产权的应用类产品1项以上；5.近5年内作为第一作者在人文社科权威期刊发表论文或在SCI二区以上发表学术期刊正刊论文1篇以上。（SCI分区参照《JCR期刊影响因子及分区情况》（中国科学院文献情报中心，最新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艺术类硕导的遴选条件可根据实际情况适当放宽。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对于近两年内引进的海外、港澳台地区人员，申报条件规定如下：</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 符合第三条至第五条的要求；</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 进校前连续3年以上在海外、港澳台地区学习或工作；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 近5年内在一级期刊、SCI（SSCI、A&amp;HCI、EI）收录的国内外学术期刊正刊上作为第一作者发表学术论文4篇以上。</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第三章 硕导的遴选程序</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硕导的选聘每年一次，由学校研究生管理部门组织实施。</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申请人填写《浙江科技学院新增硕士研究生指导教师申请表》，由学位点提出推荐意见，学位点所在的二级学院学位评定分委员会负责核实申请材料并组织初评，初评结果报学校研究生管理部门，经资格复核，对公布符合条件者的材料进行公示。</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学校学位评定委员会对候选人进行评议表决后报院长办公会议审定。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第四章 硕导上岗和资格确认</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每年在研究生招生工作启动之前，由各二级学院学位评定分委员会设定当年所辖各学位点导师招收研究生的资格条件，报学校研究生管理部门审核、备案。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第十五条 凡出现下列情况之一者，将暂停导师招生资格一年：</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（一）不认真履行导师职责，违反学校有关规定要求者；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（二）出现教学事故者；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（三）3年内，累计2届所指导的研究生学位论文送审不合格者；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（四）长期出国（2年以上）不能履行职责者；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（五）因健康等原因不能坚持正常工作者；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（六）导师考评不合格者。</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第十六条 严重违反有关规定要求者或出现重大教学事故者，由学校学位评定委员会研究决定取消其硕导资格。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第十七条 暂停招生的硕导，若下一年申请恢复招生需参加正常的上岗确认。</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第五章 其 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第十八条 申请人不得参与涉及本人的评议工作和有关的组织领导工作。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第十九条 申请人同一年只能申报1个一级学科点硕导资格，且兼任硕导资格不超过2个一级学科点。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第二十条 从校外调入本校前已获得硕导资格或本校在编教师获外校硕士研究生导师资格的人员，由原单位有关管理部门出具相关证明材料，经学校研究生管理部门会同人事管理部门审核并备案后，可获得硕导资格。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第二十一条 根据硕士研究生培养工作的需要，允许聘请校外符合本校硕导资格要求的专家合作指导硕士研究生。</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第二十二条 协助研究生指导教师共同培养研究生者（称第二导师），应在规定时间预先在学校研究生管理部门备案。第二导师应具有讲师（或相当专业技术职务）以上专业技术职称。第二导师协助制订研究生的个人培养计划并签名确认，协助指导硕士研究生的研究工作和论文撰写，在研究生的学位论文中须署名为第二指导教师。</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第二十三条 本办法由学校研究生管理部门负责解释。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第二十四条 本办法自发文之日起执行。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浙江科技学院专业学位和留学生硕士研究生指导教师遴选工作补充规定（试行）</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第一章 总 则</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第一条 根据《浙江科技学院研究生培养机制改革实施办法（试行）》（浙科院研〔2014〕7号）文件精神，硕士研究生指导教师（以下简称硕导）的遴选和聘任坚持以“科研为导向、评聘分离”为原则。硕导的遴选工作按照《浙江科技学院硕士研究生指导教师遴选工作实施细则（试行）》（浙科院研〔2012〕5号，以下简称《实施细则》）执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第二条 针对专业学位硕士研究生与外国来华留学硕士研究生（以下简称留学生）培养的特殊性，特制定本补充规定。</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第二章 专业学位硕导的遴选基本条件与认定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第三条 专业学位硕导的遴选工作应根据培养高层次应用型人才的实际需要，把校内外既有较高学术造诣又有丰富实践经验的专家充实到硕导队伍中。申请人员应具有良好的思想政治素质、学术道德和工作作风，治学态度严谨，热爱研究生教育事业，熟悉国家有关研究生教育政策法规，教书育人，为人师表，能认真履行导师职责。</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第四条 校内硕导遴选基本条件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 具有副高及以上专业技术职称，或未满40周岁，具有中级职称与博士学位。具有在所申请专业领域的工作经历，实践经验丰富，业务水平较高。</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 在所申请专业领域从事过较为系统的研究（技术）工作，承担本领域的专业技术项目（如教研教改、技术研发、技术集成、技术转化、技术推广、政策咨询、艺术创作项目等）。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 近5年内新增立项主持省部级项目1项，或主持重大横向项目经费累计达：工科类50万元及以上，理科类25万元及以上，人文社科类10万元及以上，或人文社科类新增立项主持厅局级项目1项。</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（四）近5年在科学研究或技术研发中取得了质量较高的研究成果，至少具备下列条件之一：</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以第一作者在核心期刊上发表论文2篇及以上或出版学术专著1部及以上。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理工类教师作为主要获奖者（前3名）获得省部级及以上教学、科研成果奖1项及以上，人文社科类教师作为主要获奖者（前3名）获得厅局级及以上教学、科研成果奖1项及以上。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 有省部级及以上单位主持鉴定的科研成果。人文社科类有厅局级以上单位主持鉴定的科研成果或参与省部级及以上单位主持鉴定的科研成果（前3名）。</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4. 作为第一完成人撰写了被地市厅级及以上单位吸收采纳或正式实施的具有重要价值的综合报告1份，如咨询论证报告、规划设计报告、技术研发报告、技术革新（转化推广）报告、艺术设计报告等。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5. 获得国家专利2项及以上，其中1项已正式实施，经济效益显著或获得国家发明专利1项及以上。</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6. 具有本专业职业资格证书，且曾指导本专业学位领域学生获得省部级及以上奖励。</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第五条 校外硕导（第二导师）遴选基本条件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 具有本科及以上学历，副高级及以上专业技术职务。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 在大中型企业或行业主管部门任主要领导或是其他科研单位或高等院校中经验丰富的学者、专家或从事教学、科研、企业、管理等岗位工作，具有10年及以上该领域工作经验。</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3. 在各自领域有较大影响的专家，原则上满足第四条第（四）款，特殊情况经校学位评定委员会主任同意后，填写申请表，由校学位评定委员会投票决定。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第六条 已是我校学术型硕导，符合第四条第（三）款规定的，直接认定具备专业学位硕导资格。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第七条 从校外调入本校前已获得硕导资格或本校在编教师获外校硕导资格的人员，符合第四条第（三）款规定，由原单位有关管理部门出具相关证明材料，经研究生处会同人事处审核并备案后，可认定具备专业学位硕导资格。</w:t>
      </w:r>
    </w:p>
    <w:p>
      <w:pPr>
        <w:adjustRightInd w:val="0"/>
        <w:snapToGrid w:val="0"/>
        <w:spacing w:line="520" w:lineRule="exact"/>
        <w:ind w:firstLine="480" w:firstLineChars="200"/>
        <w:jc w:val="center"/>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第三章 留学生硕导的遴选条件与认定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第八条 具有良好的思想政治素质、学术道德和工作作风，治学态度严谨，热爱研究生教育事业，熟悉国家有关研究生教育政策法规，教书育人，为人师表，具备《实施细则》规定的各项遴选条件。</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第九条 有6个月及以上国（境）外留学经历，能熟练使用英语（或其他外国语种，以下同）授课，并具有用英文指导留学生研究生进行科研、实践和撰写英文硕士论文的语言能力。</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第十条 已是我校学术型硕导且符合第九条规定的，直接认定具备留学生硕导资格。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第十一条 从校外调入本校前已获得硕导资格或本校在编教师获外校硕导资格的人员，符合第九条规定，由原单位有关管理部门出具相关证明材料，经研究生处会同人事处审核并备案后，可认定具备留学生硕导资格。</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第十二条 专业学位的留学生硕导的遴选条件在满足第二章的同时需满足第九条。</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第十三条 特殊情况下，经校学位评定委员会主任同意，申请人填写申请表，由校学位评定委员会投票决定。</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第四章 其他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第十四条 本办法由研究生处负责解释，自发文之日起执行。</w:t>
      </w: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浙江科技学院院长办公室 </w:t>
      </w: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2014年12月1日印发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spacing w:line="600" w:lineRule="exact"/>
        <w:jc w:val="center"/>
        <w:rPr>
          <w:rFonts w:ascii="方正小标宋简体" w:hAnsi="宋体" w:eastAsia="方正小标宋简体" w:cs="方正小标宋简体"/>
          <w:b/>
          <w:bCs/>
          <w:color w:val="000000" w:themeColor="text1"/>
          <w:sz w:val="30"/>
          <w:szCs w:val="30"/>
        </w:rPr>
      </w:pPr>
      <w:r>
        <w:rPr>
          <w:rFonts w:hint="eastAsia" w:ascii="方正小标宋简体" w:hAnsi="宋体" w:eastAsia="方正小标宋简体" w:cs="方正小标宋简体"/>
          <w:b/>
          <w:bCs/>
          <w:color w:val="000000" w:themeColor="text1"/>
          <w:sz w:val="30"/>
          <w:szCs w:val="30"/>
        </w:rPr>
        <w:t>浙江科技学院研究生与导师双向选择暂行办法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实行研究生与导师双向选择是把竞争机制引入研究生培养工作，深化研究生教育改革的重要措施，既能满足学校学科建设上层次、科学研究上水平的需要，又能兼顾研究生的实际情况，考虑研究生科研爱好，达到培养人才与科研、学科建设相互促进的目的，对于保证导师队伍的素质与研究生的培养质量及提高研究生教育管理水平，具有十分重要的促进作用。</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一、师生双向选择时间安排</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师生双向选择一般应在研究生入学后一月内完成，条件许可的学科经批准可提前完成。</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二、师生双向选择具体办法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（一）师生双向选择必须建立在师生双方互相了解的基础上。为此在研究生入学后应做如下安排：</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1.研究生新生入学后，各学位点所在二级学院应安排全体研究生指导教师（以下称导师）与研究生的见面会，介绍双方情况并互通联络方式。由二级学院负责向研究生公布该学位点全体导师简况。</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2.安排研究生参观有关实验室，了解导师的科研工作。</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（二）被研究生初步选中的导师，可以根据研究生对研究方向的志愿和科研需要，与研究生做必要的交流沟通，也可对填报自己的研究生进行必要的面试。</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研究生填写《浙江科技学院硕士研究生与导师双向选择志愿表》(附表1)，导师确认信息后，达成一致的志愿，在符合师生双向选择规定的情况下，汇总形成该学位点《浙江科技学院硕士研究生与导师双向选择汇总表》(附表2)（一式两份）。未达成一致的志愿，由学位点所在二级学院负责协调调整，征求师生双方同意后，由研究生再次填写《浙江科技学院硕士研究生与导师双向选择志愿表》，并填入该学位点《浙江科技学院硕士研究生与导师双向选择汇总表》，由学位点所在二级学院签署意见后报送研究生处审批并发文公布。</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（四）各学位点所在二级学院上报的《浙江科技学院硕士研究生与导师双向选择汇总表》中必须包含各学位点的所有当年在籍研究生。如有特殊情况的，须附说明。</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五）导师确定后，由二级学院组织本届硕士生导师，根据本学科培养方案和有关规定指导研究生制定个人培养计划。指导教师要严格把关，认真负责；各学位点所在二级学院要全面审查，并合理安排好各门课程的开课学期，落实好有关课程安排。</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（六）为保证研究生培养质量，在师生双向自愿选择的基础上，一名导师指导一届在学研究生数一般为1—2名，原则上不得超过3名。</w:t>
      </w:r>
    </w:p>
    <w:p>
      <w:pPr>
        <w:adjustRightInd w:val="0"/>
        <w:snapToGrid w:val="0"/>
        <w:spacing w:line="520" w:lineRule="exact"/>
        <w:ind w:firstLine="480" w:firstLineChars="200"/>
        <w:rPr>
          <w:rFonts w:ascii="仿宋_GB2312" w:hAnsi="Times New Roman" w:eastAsia="仿宋_GB2312" w:cs="仿宋_GB2312"/>
          <w:b/>
          <w:color w:val="000000" w:themeColor="text1"/>
          <w:sz w:val="24"/>
          <w:szCs w:val="24"/>
        </w:rPr>
      </w:pPr>
      <w:r>
        <w:rPr>
          <w:rFonts w:hint="eastAsia" w:ascii="仿宋_GB2312" w:hAnsi="Times New Roman" w:eastAsia="仿宋_GB2312" w:cs="仿宋_GB2312"/>
          <w:b/>
          <w:color w:val="000000" w:themeColor="text1"/>
          <w:sz w:val="24"/>
          <w:szCs w:val="24"/>
        </w:rPr>
        <w:t>三、其他</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（一）采取双向选择的兼职导师，按有关规定办理聘任手续。</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（二）导师和研究生对双向选择有异议者，报请所在二级学院与研究生处协调处理，协调仍有异议的，可向校学位评定委员会提出申诉。</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（三）本办法自发文之日起试行，解释权归学校研究生处。</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 xml:space="preserve">浙江科技学院院长办公室 </w:t>
      </w:r>
    </w:p>
    <w:p>
      <w:pPr>
        <w:adjustRightInd w:val="0"/>
        <w:snapToGrid w:val="0"/>
        <w:spacing w:line="520" w:lineRule="exact"/>
        <w:ind w:firstLine="480" w:firstLineChars="200"/>
        <w:jc w:val="right"/>
        <w:rPr>
          <w:rFonts w:ascii="仿宋_GB2312" w:hAnsi="Times New Roman" w:eastAsia="仿宋_GB2312" w:cs="仿宋_GB2312"/>
          <w:color w:val="000000" w:themeColor="text1"/>
          <w:sz w:val="24"/>
          <w:szCs w:val="24"/>
        </w:rPr>
      </w:pPr>
      <w:r>
        <w:rPr>
          <w:rFonts w:hint="eastAsia" w:ascii="仿宋_GB2312" w:hAnsi="Times New Roman" w:eastAsia="仿宋_GB2312" w:cs="仿宋_GB2312"/>
          <w:color w:val="000000" w:themeColor="text1"/>
          <w:sz w:val="24"/>
          <w:szCs w:val="24"/>
        </w:rPr>
        <w:t>2014年9月1日印发</w:t>
      </w:r>
    </w:p>
    <w:p>
      <w:pPr>
        <w:adjustRightInd w:val="0"/>
        <w:snapToGrid w:val="0"/>
        <w:spacing w:line="520" w:lineRule="exact"/>
        <w:ind w:firstLine="480" w:firstLineChars="200"/>
        <w:rPr>
          <w:rFonts w:ascii="仿宋_GB2312" w:hAnsi="Times New Roman" w:eastAsia="仿宋_GB2312" w:cs="仿宋_GB2312"/>
          <w:color w:val="000000" w:themeColor="text1"/>
          <w:sz w:val="24"/>
          <w:szCs w:val="24"/>
        </w:rPr>
      </w:pPr>
    </w:p>
    <w:sectPr>
      <w:pgSz w:w="11906" w:h="16838"/>
      <w:pgMar w:top="1191" w:right="1191" w:bottom="1191" w:left="1191"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华文楷体">
    <w:panose1 w:val="02010600040101010101"/>
    <w:charset w:val="86"/>
    <w:family w:val="auto"/>
    <w:pitch w:val="default"/>
    <w:sig w:usb0="00000287" w:usb1="080F0000" w:usb2="00000000" w:usb3="00000000" w:csb0="0004009F" w:csb1="DFD70000"/>
  </w:font>
  <w:font w:name="PingFang SC">
    <w:altName w:val="宋体"/>
    <w:panose1 w:val="00000000000000000000"/>
    <w:charset w:val="86"/>
    <w:family w:val="auto"/>
    <w:pitch w:val="default"/>
    <w:sig w:usb0="00000000" w:usb1="00000000" w:usb2="00000016" w:usb3="00000000" w:csb0="00140001"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Helvetica">
    <w:altName w:val="Arial"/>
    <w:panose1 w:val="020B0504020202020204"/>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 w:name="方正小标宋简体">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6BACDE"/>
    <w:multiLevelType w:val="singleLevel"/>
    <w:tmpl w:val="806BACDE"/>
    <w:lvl w:ilvl="0" w:tentative="0">
      <w:start w:val="1"/>
      <w:numFmt w:val="decimal"/>
      <w:suff w:val="space"/>
      <w:lvlText w:val="%1."/>
      <w:lvlJc w:val="left"/>
    </w:lvl>
  </w:abstractNum>
  <w:abstractNum w:abstractNumId="1">
    <w:nsid w:val="D4FF8347"/>
    <w:multiLevelType w:val="singleLevel"/>
    <w:tmpl w:val="D4FF8347"/>
    <w:lvl w:ilvl="0" w:tentative="0">
      <w:start w:val="1"/>
      <w:numFmt w:val="decimal"/>
      <w:suff w:val="space"/>
      <w:lvlText w:val="%1."/>
      <w:lvlJc w:val="left"/>
    </w:lvl>
  </w:abstractNum>
  <w:abstractNum w:abstractNumId="2">
    <w:nsid w:val="102811FC"/>
    <w:multiLevelType w:val="multilevel"/>
    <w:tmpl w:val="102811FC"/>
    <w:lvl w:ilvl="0" w:tentative="0">
      <w:start w:val="1"/>
      <w:numFmt w:val="japaneseCounting"/>
      <w:lvlText w:val="%1、"/>
      <w:lvlJc w:val="left"/>
      <w:pPr>
        <w:ind w:left="2040" w:hanging="720"/>
      </w:pPr>
      <w:rPr>
        <w:rFonts w:hint="eastAsia"/>
      </w:rPr>
    </w:lvl>
    <w:lvl w:ilvl="1" w:tentative="0">
      <w:start w:val="1"/>
      <w:numFmt w:val="lowerLetter"/>
      <w:lvlText w:val="%2)"/>
      <w:lvlJc w:val="left"/>
      <w:pPr>
        <w:ind w:left="2280" w:hanging="480"/>
      </w:pPr>
    </w:lvl>
    <w:lvl w:ilvl="2" w:tentative="0">
      <w:start w:val="1"/>
      <w:numFmt w:val="lowerRoman"/>
      <w:lvlText w:val="%3."/>
      <w:lvlJc w:val="right"/>
      <w:pPr>
        <w:ind w:left="2760" w:hanging="480"/>
      </w:pPr>
    </w:lvl>
    <w:lvl w:ilvl="3" w:tentative="0">
      <w:start w:val="1"/>
      <w:numFmt w:val="decimal"/>
      <w:lvlText w:val="%4."/>
      <w:lvlJc w:val="left"/>
      <w:pPr>
        <w:ind w:left="3240" w:hanging="480"/>
      </w:pPr>
    </w:lvl>
    <w:lvl w:ilvl="4" w:tentative="0">
      <w:start w:val="1"/>
      <w:numFmt w:val="lowerLetter"/>
      <w:lvlText w:val="%5)"/>
      <w:lvlJc w:val="left"/>
      <w:pPr>
        <w:ind w:left="3720" w:hanging="480"/>
      </w:pPr>
    </w:lvl>
    <w:lvl w:ilvl="5" w:tentative="0">
      <w:start w:val="1"/>
      <w:numFmt w:val="lowerRoman"/>
      <w:lvlText w:val="%6."/>
      <w:lvlJc w:val="right"/>
      <w:pPr>
        <w:ind w:left="4200" w:hanging="480"/>
      </w:pPr>
    </w:lvl>
    <w:lvl w:ilvl="6" w:tentative="0">
      <w:start w:val="1"/>
      <w:numFmt w:val="decimal"/>
      <w:lvlText w:val="%7."/>
      <w:lvlJc w:val="left"/>
      <w:pPr>
        <w:ind w:left="4680" w:hanging="480"/>
      </w:pPr>
    </w:lvl>
    <w:lvl w:ilvl="7" w:tentative="0">
      <w:start w:val="1"/>
      <w:numFmt w:val="lowerLetter"/>
      <w:lvlText w:val="%8)"/>
      <w:lvlJc w:val="left"/>
      <w:pPr>
        <w:ind w:left="5160" w:hanging="480"/>
      </w:pPr>
    </w:lvl>
    <w:lvl w:ilvl="8" w:tentative="0">
      <w:start w:val="1"/>
      <w:numFmt w:val="lowerRoman"/>
      <w:lvlText w:val="%9."/>
      <w:lvlJc w:val="right"/>
      <w:pPr>
        <w:ind w:left="5640" w:hanging="480"/>
      </w:pPr>
    </w:lvl>
  </w:abstractNum>
  <w:abstractNum w:abstractNumId="3">
    <w:nsid w:val="2DFC56A3"/>
    <w:multiLevelType w:val="multilevel"/>
    <w:tmpl w:val="2DFC56A3"/>
    <w:lvl w:ilvl="0" w:tentative="0">
      <w:start w:val="1"/>
      <w:numFmt w:val="decimal"/>
      <w:lvlText w:val="%1."/>
      <w:lvlJc w:val="left"/>
      <w:pPr>
        <w:ind w:left="888" w:hanging="360"/>
      </w:pPr>
      <w:rPr>
        <w:rFonts w:hint="default"/>
      </w:rPr>
    </w:lvl>
    <w:lvl w:ilvl="1" w:tentative="0">
      <w:start w:val="1"/>
      <w:numFmt w:val="lowerLetter"/>
      <w:lvlText w:val="%2)"/>
      <w:lvlJc w:val="left"/>
      <w:pPr>
        <w:ind w:left="1368" w:hanging="420"/>
      </w:pPr>
    </w:lvl>
    <w:lvl w:ilvl="2" w:tentative="0">
      <w:start w:val="1"/>
      <w:numFmt w:val="lowerRoman"/>
      <w:lvlText w:val="%3."/>
      <w:lvlJc w:val="right"/>
      <w:pPr>
        <w:ind w:left="1788" w:hanging="420"/>
      </w:pPr>
    </w:lvl>
    <w:lvl w:ilvl="3" w:tentative="0">
      <w:start w:val="1"/>
      <w:numFmt w:val="decimal"/>
      <w:lvlText w:val="%4."/>
      <w:lvlJc w:val="left"/>
      <w:pPr>
        <w:ind w:left="2208" w:hanging="420"/>
      </w:pPr>
    </w:lvl>
    <w:lvl w:ilvl="4" w:tentative="0">
      <w:start w:val="1"/>
      <w:numFmt w:val="lowerLetter"/>
      <w:lvlText w:val="%5)"/>
      <w:lvlJc w:val="left"/>
      <w:pPr>
        <w:ind w:left="2628" w:hanging="420"/>
      </w:pPr>
    </w:lvl>
    <w:lvl w:ilvl="5" w:tentative="0">
      <w:start w:val="1"/>
      <w:numFmt w:val="lowerRoman"/>
      <w:lvlText w:val="%6."/>
      <w:lvlJc w:val="right"/>
      <w:pPr>
        <w:ind w:left="3048" w:hanging="420"/>
      </w:pPr>
    </w:lvl>
    <w:lvl w:ilvl="6" w:tentative="0">
      <w:start w:val="1"/>
      <w:numFmt w:val="decimal"/>
      <w:lvlText w:val="%7."/>
      <w:lvlJc w:val="left"/>
      <w:pPr>
        <w:ind w:left="3468" w:hanging="420"/>
      </w:pPr>
    </w:lvl>
    <w:lvl w:ilvl="7" w:tentative="0">
      <w:start w:val="1"/>
      <w:numFmt w:val="lowerLetter"/>
      <w:lvlText w:val="%8)"/>
      <w:lvlJc w:val="left"/>
      <w:pPr>
        <w:ind w:left="3888" w:hanging="420"/>
      </w:pPr>
    </w:lvl>
    <w:lvl w:ilvl="8" w:tentative="0">
      <w:start w:val="1"/>
      <w:numFmt w:val="lowerRoman"/>
      <w:lvlText w:val="%9."/>
      <w:lvlJc w:val="right"/>
      <w:pPr>
        <w:ind w:left="4308" w:hanging="420"/>
      </w:pPr>
    </w:lvl>
  </w:abstractNum>
  <w:abstractNum w:abstractNumId="4">
    <w:nsid w:val="2E2A3D45"/>
    <w:multiLevelType w:val="multilevel"/>
    <w:tmpl w:val="2E2A3D45"/>
    <w:lvl w:ilvl="0" w:tentative="0">
      <w:start w:val="1"/>
      <w:numFmt w:val="decimal"/>
      <w:lvlText w:val="%1"/>
      <w:lvlJc w:val="left"/>
      <w:pPr>
        <w:tabs>
          <w:tab w:val="left" w:pos="340"/>
        </w:tabs>
        <w:ind w:left="340" w:hanging="340"/>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94"/>
        </w:tabs>
        <w:ind w:left="794" w:hanging="794"/>
      </w:pPr>
      <w:rPr>
        <w:rFonts w:hint="eastAsia"/>
      </w:rPr>
    </w:lvl>
    <w:lvl w:ilvl="3" w:tentative="0">
      <w:start w:val="1"/>
      <w:numFmt w:val="decimal"/>
      <w:lvlText w:val="%1.%2.%3.%4"/>
      <w:lvlJc w:val="left"/>
      <w:pPr>
        <w:tabs>
          <w:tab w:val="left" w:pos="1021"/>
        </w:tabs>
        <w:ind w:left="1021" w:hanging="1021"/>
      </w:pPr>
      <w:rPr>
        <w:rFonts w:hint="eastAsia"/>
      </w:rPr>
    </w:lvl>
    <w:lvl w:ilvl="4" w:tentative="0">
      <w:start w:val="1"/>
      <w:numFmt w:val="decimal"/>
      <w:lvlText w:val="%1.%2.%3.%4.%5"/>
      <w:lvlJc w:val="left"/>
      <w:pPr>
        <w:tabs>
          <w:tab w:val="left" w:pos="1247"/>
        </w:tabs>
        <w:ind w:left="1247" w:hanging="1247"/>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
    <w:nsid w:val="39EB667A"/>
    <w:multiLevelType w:val="singleLevel"/>
    <w:tmpl w:val="39EB667A"/>
    <w:lvl w:ilvl="0" w:tentative="0">
      <w:start w:val="1"/>
      <w:numFmt w:val="decimal"/>
      <w:suff w:val="space"/>
      <w:lvlText w:val="%1."/>
      <w:lvlJc w:val="left"/>
    </w:lvl>
  </w:abstractNum>
  <w:abstractNum w:abstractNumId="6">
    <w:nsid w:val="57027E2B"/>
    <w:multiLevelType w:val="singleLevel"/>
    <w:tmpl w:val="57027E2B"/>
    <w:lvl w:ilvl="0" w:tentative="0">
      <w:start w:val="1"/>
      <w:numFmt w:val="chineseCounting"/>
      <w:suff w:val="nothing"/>
      <w:lvlText w:val="%1、"/>
      <w:lvlJc w:val="left"/>
    </w:lvl>
  </w:abstractNum>
  <w:abstractNum w:abstractNumId="7">
    <w:nsid w:val="5BE410AF"/>
    <w:multiLevelType w:val="multilevel"/>
    <w:tmpl w:val="5BE410AF"/>
    <w:lvl w:ilvl="0" w:tentative="0">
      <w:start w:val="1"/>
      <w:numFmt w:val="japaneseCounting"/>
      <w:lvlText w:val="第%1章"/>
      <w:lvlJc w:val="left"/>
      <w:pPr>
        <w:ind w:left="1320" w:hanging="840"/>
      </w:pPr>
      <w:rPr>
        <w:rFonts w:hint="eastAsia"/>
      </w:rPr>
    </w:lvl>
    <w:lvl w:ilvl="1" w:tentative="0">
      <w:start w:val="1"/>
      <w:numFmt w:val="lowerLetter"/>
      <w:lvlText w:val="%2)"/>
      <w:lvlJc w:val="left"/>
      <w:pPr>
        <w:ind w:left="1440" w:hanging="480"/>
      </w:pPr>
    </w:lvl>
    <w:lvl w:ilvl="2" w:tentative="0">
      <w:start w:val="1"/>
      <w:numFmt w:val="lowerRoman"/>
      <w:lvlText w:val="%3."/>
      <w:lvlJc w:val="right"/>
      <w:pPr>
        <w:ind w:left="1920" w:hanging="480"/>
      </w:pPr>
    </w:lvl>
    <w:lvl w:ilvl="3" w:tentative="0">
      <w:start w:val="1"/>
      <w:numFmt w:val="decimal"/>
      <w:lvlText w:val="%4."/>
      <w:lvlJc w:val="left"/>
      <w:pPr>
        <w:ind w:left="2400" w:hanging="480"/>
      </w:pPr>
    </w:lvl>
    <w:lvl w:ilvl="4" w:tentative="0">
      <w:start w:val="1"/>
      <w:numFmt w:val="lowerLetter"/>
      <w:lvlText w:val="%5)"/>
      <w:lvlJc w:val="left"/>
      <w:pPr>
        <w:ind w:left="2880" w:hanging="480"/>
      </w:pPr>
    </w:lvl>
    <w:lvl w:ilvl="5" w:tentative="0">
      <w:start w:val="1"/>
      <w:numFmt w:val="lowerRoman"/>
      <w:lvlText w:val="%6."/>
      <w:lvlJc w:val="right"/>
      <w:pPr>
        <w:ind w:left="3360" w:hanging="480"/>
      </w:pPr>
    </w:lvl>
    <w:lvl w:ilvl="6" w:tentative="0">
      <w:start w:val="1"/>
      <w:numFmt w:val="decimal"/>
      <w:lvlText w:val="%7."/>
      <w:lvlJc w:val="left"/>
      <w:pPr>
        <w:ind w:left="3840" w:hanging="480"/>
      </w:pPr>
    </w:lvl>
    <w:lvl w:ilvl="7" w:tentative="0">
      <w:start w:val="1"/>
      <w:numFmt w:val="lowerLetter"/>
      <w:lvlText w:val="%8)"/>
      <w:lvlJc w:val="left"/>
      <w:pPr>
        <w:ind w:left="4320" w:hanging="480"/>
      </w:pPr>
    </w:lvl>
    <w:lvl w:ilvl="8" w:tentative="0">
      <w:start w:val="1"/>
      <w:numFmt w:val="lowerRoman"/>
      <w:lvlText w:val="%9."/>
      <w:lvlJc w:val="right"/>
      <w:pPr>
        <w:ind w:left="4800" w:hanging="480"/>
      </w:pPr>
    </w:lvl>
  </w:abstractNum>
  <w:abstractNum w:abstractNumId="8">
    <w:nsid w:val="60A91EA1"/>
    <w:multiLevelType w:val="singleLevel"/>
    <w:tmpl w:val="60A91EA1"/>
    <w:lvl w:ilvl="0" w:tentative="0">
      <w:start w:val="6"/>
      <w:numFmt w:val="chineseCounting"/>
      <w:suff w:val="nothing"/>
      <w:lvlText w:val="%1、"/>
      <w:lvlJc w:val="left"/>
      <w:rPr>
        <w:rFonts w:hint="eastAsia"/>
      </w:rPr>
    </w:lvl>
  </w:abstractNum>
  <w:abstractNum w:abstractNumId="9">
    <w:nsid w:val="6811280A"/>
    <w:multiLevelType w:val="multilevel"/>
    <w:tmpl w:val="6811280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9EF267A"/>
    <w:multiLevelType w:val="multilevel"/>
    <w:tmpl w:val="79EF267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C8E2A3D"/>
    <w:multiLevelType w:val="multilevel"/>
    <w:tmpl w:val="7C8E2A3D"/>
    <w:lvl w:ilvl="0" w:tentative="0">
      <w:start w:val="1"/>
      <w:numFmt w:val="decimal"/>
      <w:lvlText w:val="%1."/>
      <w:lvlJc w:val="left"/>
      <w:pPr>
        <w:ind w:left="595" w:hanging="360"/>
      </w:pPr>
      <w:rPr>
        <w:rFonts w:hint="eastAsia"/>
      </w:rPr>
    </w:lvl>
    <w:lvl w:ilvl="1" w:tentative="0">
      <w:start w:val="1"/>
      <w:numFmt w:val="lowerLetter"/>
      <w:lvlText w:val="%2)"/>
      <w:lvlJc w:val="left"/>
      <w:pPr>
        <w:ind w:left="1195" w:hanging="480"/>
      </w:pPr>
    </w:lvl>
    <w:lvl w:ilvl="2" w:tentative="0">
      <w:start w:val="1"/>
      <w:numFmt w:val="lowerRoman"/>
      <w:lvlText w:val="%3."/>
      <w:lvlJc w:val="right"/>
      <w:pPr>
        <w:ind w:left="1675" w:hanging="480"/>
      </w:pPr>
    </w:lvl>
    <w:lvl w:ilvl="3" w:tentative="0">
      <w:start w:val="1"/>
      <w:numFmt w:val="decimal"/>
      <w:lvlText w:val="%4."/>
      <w:lvlJc w:val="left"/>
      <w:pPr>
        <w:ind w:left="2155" w:hanging="480"/>
      </w:pPr>
    </w:lvl>
    <w:lvl w:ilvl="4" w:tentative="0">
      <w:start w:val="1"/>
      <w:numFmt w:val="lowerLetter"/>
      <w:lvlText w:val="%5)"/>
      <w:lvlJc w:val="left"/>
      <w:pPr>
        <w:ind w:left="2635" w:hanging="480"/>
      </w:pPr>
    </w:lvl>
    <w:lvl w:ilvl="5" w:tentative="0">
      <w:start w:val="1"/>
      <w:numFmt w:val="lowerRoman"/>
      <w:lvlText w:val="%6."/>
      <w:lvlJc w:val="right"/>
      <w:pPr>
        <w:ind w:left="3115" w:hanging="480"/>
      </w:pPr>
    </w:lvl>
    <w:lvl w:ilvl="6" w:tentative="0">
      <w:start w:val="1"/>
      <w:numFmt w:val="decimal"/>
      <w:lvlText w:val="%7."/>
      <w:lvlJc w:val="left"/>
      <w:pPr>
        <w:ind w:left="3595" w:hanging="480"/>
      </w:pPr>
    </w:lvl>
    <w:lvl w:ilvl="7" w:tentative="0">
      <w:start w:val="1"/>
      <w:numFmt w:val="lowerLetter"/>
      <w:lvlText w:val="%8)"/>
      <w:lvlJc w:val="left"/>
      <w:pPr>
        <w:ind w:left="4075" w:hanging="480"/>
      </w:pPr>
    </w:lvl>
    <w:lvl w:ilvl="8" w:tentative="0">
      <w:start w:val="1"/>
      <w:numFmt w:val="lowerRoman"/>
      <w:lvlText w:val="%9."/>
      <w:lvlJc w:val="right"/>
      <w:pPr>
        <w:ind w:left="4555" w:hanging="480"/>
      </w:pPr>
    </w:lvl>
  </w:abstractNum>
  <w:num w:numId="1">
    <w:abstractNumId w:val="8"/>
  </w:num>
  <w:num w:numId="2">
    <w:abstractNumId w:val="9"/>
  </w:num>
  <w:num w:numId="3">
    <w:abstractNumId w:val="11"/>
  </w:num>
  <w:num w:numId="4">
    <w:abstractNumId w:val="0"/>
  </w:num>
  <w:num w:numId="5">
    <w:abstractNumId w:val="10"/>
  </w:num>
  <w:num w:numId="6">
    <w:abstractNumId w:val="6"/>
  </w:num>
  <w:num w:numId="7">
    <w:abstractNumId w:val="7"/>
  </w:num>
  <w:num w:numId="8">
    <w:abstractNumId w:val="2"/>
  </w:num>
  <w:num w:numId="9">
    <w:abstractNumId w:val="3"/>
  </w:num>
  <w:num w:numId="10">
    <w:abstractNumId w:val="4"/>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477C"/>
    <w:rsid w:val="00015E5E"/>
    <w:rsid w:val="00016FC3"/>
    <w:rsid w:val="00020215"/>
    <w:rsid w:val="00021946"/>
    <w:rsid w:val="00031A30"/>
    <w:rsid w:val="00047B3E"/>
    <w:rsid w:val="000535DD"/>
    <w:rsid w:val="00054A94"/>
    <w:rsid w:val="00064631"/>
    <w:rsid w:val="00065147"/>
    <w:rsid w:val="00071E50"/>
    <w:rsid w:val="00072953"/>
    <w:rsid w:val="00072F93"/>
    <w:rsid w:val="0007502C"/>
    <w:rsid w:val="0008262D"/>
    <w:rsid w:val="00083894"/>
    <w:rsid w:val="000A418C"/>
    <w:rsid w:val="000B0DEB"/>
    <w:rsid w:val="000B4D7D"/>
    <w:rsid w:val="000C3833"/>
    <w:rsid w:val="000C63E2"/>
    <w:rsid w:val="000D2A93"/>
    <w:rsid w:val="000D480A"/>
    <w:rsid w:val="000D49F8"/>
    <w:rsid w:val="000E13AC"/>
    <w:rsid w:val="000E2E36"/>
    <w:rsid w:val="000E48E0"/>
    <w:rsid w:val="000E4F3D"/>
    <w:rsid w:val="000F46F8"/>
    <w:rsid w:val="000F7772"/>
    <w:rsid w:val="001026FB"/>
    <w:rsid w:val="00113B49"/>
    <w:rsid w:val="00117A01"/>
    <w:rsid w:val="0012024C"/>
    <w:rsid w:val="00131C84"/>
    <w:rsid w:val="00136781"/>
    <w:rsid w:val="001401DE"/>
    <w:rsid w:val="00140906"/>
    <w:rsid w:val="00145DBD"/>
    <w:rsid w:val="001553F3"/>
    <w:rsid w:val="001560D2"/>
    <w:rsid w:val="0016411F"/>
    <w:rsid w:val="00165258"/>
    <w:rsid w:val="00165DCD"/>
    <w:rsid w:val="00172A27"/>
    <w:rsid w:val="00182BC4"/>
    <w:rsid w:val="00190C9D"/>
    <w:rsid w:val="001925B8"/>
    <w:rsid w:val="001A1BAD"/>
    <w:rsid w:val="001A7070"/>
    <w:rsid w:val="001B3E1D"/>
    <w:rsid w:val="001B5B6C"/>
    <w:rsid w:val="001C1A9E"/>
    <w:rsid w:val="001C301E"/>
    <w:rsid w:val="001D71B5"/>
    <w:rsid w:val="001D749C"/>
    <w:rsid w:val="001E62BE"/>
    <w:rsid w:val="001F1C79"/>
    <w:rsid w:val="001F2FE5"/>
    <w:rsid w:val="0020162B"/>
    <w:rsid w:val="00202399"/>
    <w:rsid w:val="002023A2"/>
    <w:rsid w:val="00204922"/>
    <w:rsid w:val="002124B3"/>
    <w:rsid w:val="0021262A"/>
    <w:rsid w:val="00220136"/>
    <w:rsid w:val="0022033C"/>
    <w:rsid w:val="00221052"/>
    <w:rsid w:val="00221621"/>
    <w:rsid w:val="0022218E"/>
    <w:rsid w:val="002251B2"/>
    <w:rsid w:val="00232D96"/>
    <w:rsid w:val="00237FF6"/>
    <w:rsid w:val="00240F4E"/>
    <w:rsid w:val="002446B7"/>
    <w:rsid w:val="00246AC1"/>
    <w:rsid w:val="0027237B"/>
    <w:rsid w:val="00275D24"/>
    <w:rsid w:val="0028286C"/>
    <w:rsid w:val="00290BB2"/>
    <w:rsid w:val="002A139E"/>
    <w:rsid w:val="002B02DC"/>
    <w:rsid w:val="002B0B4B"/>
    <w:rsid w:val="002B1260"/>
    <w:rsid w:val="002E34FE"/>
    <w:rsid w:val="002E5BA3"/>
    <w:rsid w:val="002E76BB"/>
    <w:rsid w:val="002F7E25"/>
    <w:rsid w:val="003004D2"/>
    <w:rsid w:val="00313C56"/>
    <w:rsid w:val="00327210"/>
    <w:rsid w:val="00334A5C"/>
    <w:rsid w:val="003352A0"/>
    <w:rsid w:val="00337572"/>
    <w:rsid w:val="003519BC"/>
    <w:rsid w:val="00353A05"/>
    <w:rsid w:val="0035475D"/>
    <w:rsid w:val="00354790"/>
    <w:rsid w:val="0036509D"/>
    <w:rsid w:val="003752DD"/>
    <w:rsid w:val="0038073D"/>
    <w:rsid w:val="00386202"/>
    <w:rsid w:val="003A4E68"/>
    <w:rsid w:val="003A6FE8"/>
    <w:rsid w:val="003C3BCC"/>
    <w:rsid w:val="003D65E3"/>
    <w:rsid w:val="003D6610"/>
    <w:rsid w:val="003D6C45"/>
    <w:rsid w:val="003D6D5E"/>
    <w:rsid w:val="003E567B"/>
    <w:rsid w:val="003F0A6D"/>
    <w:rsid w:val="003F71C5"/>
    <w:rsid w:val="00414869"/>
    <w:rsid w:val="00431724"/>
    <w:rsid w:val="00435B3D"/>
    <w:rsid w:val="004626AE"/>
    <w:rsid w:val="0046317C"/>
    <w:rsid w:val="00463567"/>
    <w:rsid w:val="00467309"/>
    <w:rsid w:val="004825BB"/>
    <w:rsid w:val="004924B3"/>
    <w:rsid w:val="00497870"/>
    <w:rsid w:val="004A1D8C"/>
    <w:rsid w:val="004A619D"/>
    <w:rsid w:val="004A741B"/>
    <w:rsid w:val="004B2BA2"/>
    <w:rsid w:val="004B3569"/>
    <w:rsid w:val="004B38C9"/>
    <w:rsid w:val="004B4EE6"/>
    <w:rsid w:val="004C79B7"/>
    <w:rsid w:val="004D68C1"/>
    <w:rsid w:val="004D69DC"/>
    <w:rsid w:val="004E4E2A"/>
    <w:rsid w:val="004E6485"/>
    <w:rsid w:val="004E7D06"/>
    <w:rsid w:val="004F3C2C"/>
    <w:rsid w:val="004F5EB9"/>
    <w:rsid w:val="0051511B"/>
    <w:rsid w:val="00520836"/>
    <w:rsid w:val="00520DA0"/>
    <w:rsid w:val="00524B2C"/>
    <w:rsid w:val="00525269"/>
    <w:rsid w:val="0052794E"/>
    <w:rsid w:val="00533D19"/>
    <w:rsid w:val="00536435"/>
    <w:rsid w:val="0053793A"/>
    <w:rsid w:val="00541A48"/>
    <w:rsid w:val="005456ED"/>
    <w:rsid w:val="00561A89"/>
    <w:rsid w:val="005634F1"/>
    <w:rsid w:val="00566D2F"/>
    <w:rsid w:val="00567C4D"/>
    <w:rsid w:val="00572D69"/>
    <w:rsid w:val="005761AC"/>
    <w:rsid w:val="005771AC"/>
    <w:rsid w:val="005863FE"/>
    <w:rsid w:val="00587DC3"/>
    <w:rsid w:val="005901BF"/>
    <w:rsid w:val="0059250C"/>
    <w:rsid w:val="005947B1"/>
    <w:rsid w:val="005959A3"/>
    <w:rsid w:val="00595EDC"/>
    <w:rsid w:val="005A14CA"/>
    <w:rsid w:val="005A5E8B"/>
    <w:rsid w:val="005B033E"/>
    <w:rsid w:val="005C1682"/>
    <w:rsid w:val="005C1B8D"/>
    <w:rsid w:val="005D462A"/>
    <w:rsid w:val="005D666B"/>
    <w:rsid w:val="005D7D21"/>
    <w:rsid w:val="005E36AB"/>
    <w:rsid w:val="005F58B8"/>
    <w:rsid w:val="005F5CA6"/>
    <w:rsid w:val="00603934"/>
    <w:rsid w:val="00603C03"/>
    <w:rsid w:val="0060451E"/>
    <w:rsid w:val="00606EC8"/>
    <w:rsid w:val="00607CF4"/>
    <w:rsid w:val="0061030B"/>
    <w:rsid w:val="00626D85"/>
    <w:rsid w:val="00636728"/>
    <w:rsid w:val="00645E22"/>
    <w:rsid w:val="00646BFD"/>
    <w:rsid w:val="00654BF1"/>
    <w:rsid w:val="00664DBB"/>
    <w:rsid w:val="00673BDD"/>
    <w:rsid w:val="00687B2E"/>
    <w:rsid w:val="00691187"/>
    <w:rsid w:val="006C04D3"/>
    <w:rsid w:val="006C6722"/>
    <w:rsid w:val="006C793C"/>
    <w:rsid w:val="006C79A9"/>
    <w:rsid w:val="006D313E"/>
    <w:rsid w:val="006D6013"/>
    <w:rsid w:val="006D727E"/>
    <w:rsid w:val="006E2CFA"/>
    <w:rsid w:val="0070175E"/>
    <w:rsid w:val="00705F06"/>
    <w:rsid w:val="00711CB3"/>
    <w:rsid w:val="00721894"/>
    <w:rsid w:val="00725F93"/>
    <w:rsid w:val="00731777"/>
    <w:rsid w:val="007341BB"/>
    <w:rsid w:val="007505FA"/>
    <w:rsid w:val="00755214"/>
    <w:rsid w:val="00760D31"/>
    <w:rsid w:val="00780AA0"/>
    <w:rsid w:val="0079096B"/>
    <w:rsid w:val="007947CC"/>
    <w:rsid w:val="00797C05"/>
    <w:rsid w:val="007A34DE"/>
    <w:rsid w:val="007A783C"/>
    <w:rsid w:val="007B1B64"/>
    <w:rsid w:val="007B1E0B"/>
    <w:rsid w:val="007D0092"/>
    <w:rsid w:val="007D5A5B"/>
    <w:rsid w:val="007E187E"/>
    <w:rsid w:val="007F7ACC"/>
    <w:rsid w:val="00820562"/>
    <w:rsid w:val="00820783"/>
    <w:rsid w:val="0083145C"/>
    <w:rsid w:val="00833D89"/>
    <w:rsid w:val="00837BC1"/>
    <w:rsid w:val="008408AE"/>
    <w:rsid w:val="00840A1D"/>
    <w:rsid w:val="00840EC6"/>
    <w:rsid w:val="008423D6"/>
    <w:rsid w:val="008427F1"/>
    <w:rsid w:val="0086267B"/>
    <w:rsid w:val="00863E44"/>
    <w:rsid w:val="00863FDE"/>
    <w:rsid w:val="008643B8"/>
    <w:rsid w:val="008672B7"/>
    <w:rsid w:val="008702BD"/>
    <w:rsid w:val="008830EE"/>
    <w:rsid w:val="008A557B"/>
    <w:rsid w:val="008A77AF"/>
    <w:rsid w:val="008B36E1"/>
    <w:rsid w:val="008C404F"/>
    <w:rsid w:val="008C5B9F"/>
    <w:rsid w:val="008D01E2"/>
    <w:rsid w:val="008F4674"/>
    <w:rsid w:val="0090709D"/>
    <w:rsid w:val="00907746"/>
    <w:rsid w:val="009153C5"/>
    <w:rsid w:val="00921EB6"/>
    <w:rsid w:val="00942C4E"/>
    <w:rsid w:val="0094543A"/>
    <w:rsid w:val="00945EFD"/>
    <w:rsid w:val="00947CF0"/>
    <w:rsid w:val="0095099B"/>
    <w:rsid w:val="009532AA"/>
    <w:rsid w:val="009571E5"/>
    <w:rsid w:val="00962582"/>
    <w:rsid w:val="00963D61"/>
    <w:rsid w:val="0096506D"/>
    <w:rsid w:val="0099152C"/>
    <w:rsid w:val="009A05CC"/>
    <w:rsid w:val="009A1FF9"/>
    <w:rsid w:val="009A3461"/>
    <w:rsid w:val="009A6D90"/>
    <w:rsid w:val="009A760B"/>
    <w:rsid w:val="009C261E"/>
    <w:rsid w:val="009C4936"/>
    <w:rsid w:val="009C5719"/>
    <w:rsid w:val="009D1B7C"/>
    <w:rsid w:val="009D3B3A"/>
    <w:rsid w:val="009D602A"/>
    <w:rsid w:val="009E3B81"/>
    <w:rsid w:val="009E5ED0"/>
    <w:rsid w:val="009F04C1"/>
    <w:rsid w:val="009F41E2"/>
    <w:rsid w:val="009F58B9"/>
    <w:rsid w:val="00A03D42"/>
    <w:rsid w:val="00A10BB2"/>
    <w:rsid w:val="00A26333"/>
    <w:rsid w:val="00A26E5C"/>
    <w:rsid w:val="00A306BE"/>
    <w:rsid w:val="00A34A56"/>
    <w:rsid w:val="00A365F1"/>
    <w:rsid w:val="00A4390D"/>
    <w:rsid w:val="00A47771"/>
    <w:rsid w:val="00A634BF"/>
    <w:rsid w:val="00A654BF"/>
    <w:rsid w:val="00A734B3"/>
    <w:rsid w:val="00A80324"/>
    <w:rsid w:val="00A80578"/>
    <w:rsid w:val="00A85E0F"/>
    <w:rsid w:val="00A86918"/>
    <w:rsid w:val="00A914C6"/>
    <w:rsid w:val="00AA07DD"/>
    <w:rsid w:val="00AB2B68"/>
    <w:rsid w:val="00AB542C"/>
    <w:rsid w:val="00AC6308"/>
    <w:rsid w:val="00AD2A79"/>
    <w:rsid w:val="00AD334D"/>
    <w:rsid w:val="00AD3CBD"/>
    <w:rsid w:val="00AD4166"/>
    <w:rsid w:val="00AE4D63"/>
    <w:rsid w:val="00AE7B69"/>
    <w:rsid w:val="00AF1125"/>
    <w:rsid w:val="00B03DEC"/>
    <w:rsid w:val="00B1373F"/>
    <w:rsid w:val="00B16432"/>
    <w:rsid w:val="00B34D12"/>
    <w:rsid w:val="00B513BB"/>
    <w:rsid w:val="00B65ED2"/>
    <w:rsid w:val="00B740CD"/>
    <w:rsid w:val="00B75346"/>
    <w:rsid w:val="00B7671F"/>
    <w:rsid w:val="00B775DB"/>
    <w:rsid w:val="00B81545"/>
    <w:rsid w:val="00B827BA"/>
    <w:rsid w:val="00B8494D"/>
    <w:rsid w:val="00B9071A"/>
    <w:rsid w:val="00B90BCE"/>
    <w:rsid w:val="00B948F7"/>
    <w:rsid w:val="00B974E4"/>
    <w:rsid w:val="00BB288B"/>
    <w:rsid w:val="00BB5DEB"/>
    <w:rsid w:val="00BB7679"/>
    <w:rsid w:val="00BB7FB5"/>
    <w:rsid w:val="00BC04F0"/>
    <w:rsid w:val="00BD3FEA"/>
    <w:rsid w:val="00BD7470"/>
    <w:rsid w:val="00BE0EDB"/>
    <w:rsid w:val="00BE73EE"/>
    <w:rsid w:val="00BE79B6"/>
    <w:rsid w:val="00BF6EEC"/>
    <w:rsid w:val="00C023EB"/>
    <w:rsid w:val="00C17094"/>
    <w:rsid w:val="00C174F3"/>
    <w:rsid w:val="00C20FE9"/>
    <w:rsid w:val="00C23FD8"/>
    <w:rsid w:val="00C24FD0"/>
    <w:rsid w:val="00C27164"/>
    <w:rsid w:val="00C31D52"/>
    <w:rsid w:val="00C33B0D"/>
    <w:rsid w:val="00C358B8"/>
    <w:rsid w:val="00C432C9"/>
    <w:rsid w:val="00C44A7A"/>
    <w:rsid w:val="00C46CBA"/>
    <w:rsid w:val="00C51FC8"/>
    <w:rsid w:val="00C65A37"/>
    <w:rsid w:val="00C67FA6"/>
    <w:rsid w:val="00C76DCA"/>
    <w:rsid w:val="00C86392"/>
    <w:rsid w:val="00C87A7A"/>
    <w:rsid w:val="00C90AFA"/>
    <w:rsid w:val="00C9544D"/>
    <w:rsid w:val="00C95EBF"/>
    <w:rsid w:val="00C9622D"/>
    <w:rsid w:val="00CA3D96"/>
    <w:rsid w:val="00CA6E31"/>
    <w:rsid w:val="00CC06B1"/>
    <w:rsid w:val="00CC4C79"/>
    <w:rsid w:val="00CD228D"/>
    <w:rsid w:val="00CE2A50"/>
    <w:rsid w:val="00CE3BBA"/>
    <w:rsid w:val="00CE7EC6"/>
    <w:rsid w:val="00CF4B5A"/>
    <w:rsid w:val="00CF5335"/>
    <w:rsid w:val="00D00B05"/>
    <w:rsid w:val="00D06164"/>
    <w:rsid w:val="00D14631"/>
    <w:rsid w:val="00D267CB"/>
    <w:rsid w:val="00D300F6"/>
    <w:rsid w:val="00D31BD3"/>
    <w:rsid w:val="00D32251"/>
    <w:rsid w:val="00D43377"/>
    <w:rsid w:val="00D53805"/>
    <w:rsid w:val="00D559A2"/>
    <w:rsid w:val="00D639D1"/>
    <w:rsid w:val="00D7121B"/>
    <w:rsid w:val="00D7358A"/>
    <w:rsid w:val="00D766FB"/>
    <w:rsid w:val="00D95500"/>
    <w:rsid w:val="00D97164"/>
    <w:rsid w:val="00DA36E7"/>
    <w:rsid w:val="00DB0B29"/>
    <w:rsid w:val="00DB175D"/>
    <w:rsid w:val="00DB4BA3"/>
    <w:rsid w:val="00DB72D4"/>
    <w:rsid w:val="00DC2ABD"/>
    <w:rsid w:val="00DD2742"/>
    <w:rsid w:val="00DD2F09"/>
    <w:rsid w:val="00DD3967"/>
    <w:rsid w:val="00DD4857"/>
    <w:rsid w:val="00DD6CE5"/>
    <w:rsid w:val="00DE7A5B"/>
    <w:rsid w:val="00DF2D35"/>
    <w:rsid w:val="00DF6373"/>
    <w:rsid w:val="00E066BF"/>
    <w:rsid w:val="00E14845"/>
    <w:rsid w:val="00E16302"/>
    <w:rsid w:val="00E3052D"/>
    <w:rsid w:val="00E312BC"/>
    <w:rsid w:val="00E42845"/>
    <w:rsid w:val="00E465C1"/>
    <w:rsid w:val="00E526AF"/>
    <w:rsid w:val="00E65238"/>
    <w:rsid w:val="00E67E2F"/>
    <w:rsid w:val="00E73908"/>
    <w:rsid w:val="00E81188"/>
    <w:rsid w:val="00E82209"/>
    <w:rsid w:val="00E82A18"/>
    <w:rsid w:val="00E9093E"/>
    <w:rsid w:val="00E96588"/>
    <w:rsid w:val="00EA10DD"/>
    <w:rsid w:val="00EA4334"/>
    <w:rsid w:val="00EA63C7"/>
    <w:rsid w:val="00EA75FC"/>
    <w:rsid w:val="00EB3CBF"/>
    <w:rsid w:val="00EB43EC"/>
    <w:rsid w:val="00EB75CF"/>
    <w:rsid w:val="00EC1E75"/>
    <w:rsid w:val="00EC30EF"/>
    <w:rsid w:val="00EC3F16"/>
    <w:rsid w:val="00EC5B26"/>
    <w:rsid w:val="00EC7585"/>
    <w:rsid w:val="00ED5FF8"/>
    <w:rsid w:val="00EE4F04"/>
    <w:rsid w:val="00EE5B95"/>
    <w:rsid w:val="00EF11B6"/>
    <w:rsid w:val="00EF24CC"/>
    <w:rsid w:val="00EF59C7"/>
    <w:rsid w:val="00F00EB7"/>
    <w:rsid w:val="00F05C1A"/>
    <w:rsid w:val="00F108E3"/>
    <w:rsid w:val="00F15FE1"/>
    <w:rsid w:val="00F22949"/>
    <w:rsid w:val="00F249C9"/>
    <w:rsid w:val="00F35B0B"/>
    <w:rsid w:val="00F36DD8"/>
    <w:rsid w:val="00F42521"/>
    <w:rsid w:val="00F44701"/>
    <w:rsid w:val="00F44985"/>
    <w:rsid w:val="00F65702"/>
    <w:rsid w:val="00F70FEF"/>
    <w:rsid w:val="00F73649"/>
    <w:rsid w:val="00F77393"/>
    <w:rsid w:val="00F8081E"/>
    <w:rsid w:val="00F8408C"/>
    <w:rsid w:val="00F867C7"/>
    <w:rsid w:val="00F91EB4"/>
    <w:rsid w:val="00F94740"/>
    <w:rsid w:val="00F97185"/>
    <w:rsid w:val="00FB103E"/>
    <w:rsid w:val="00FC6E32"/>
    <w:rsid w:val="00FD48B8"/>
    <w:rsid w:val="00FD6ABD"/>
    <w:rsid w:val="00FE1FDE"/>
    <w:rsid w:val="00FE6714"/>
    <w:rsid w:val="018252D9"/>
    <w:rsid w:val="01D90001"/>
    <w:rsid w:val="01E178C3"/>
    <w:rsid w:val="030434AA"/>
    <w:rsid w:val="035D0C0C"/>
    <w:rsid w:val="038835E8"/>
    <w:rsid w:val="03925C24"/>
    <w:rsid w:val="03A30D97"/>
    <w:rsid w:val="03A879EF"/>
    <w:rsid w:val="03B70D0B"/>
    <w:rsid w:val="03C276BA"/>
    <w:rsid w:val="04140A69"/>
    <w:rsid w:val="041778F1"/>
    <w:rsid w:val="049E76C9"/>
    <w:rsid w:val="053C601C"/>
    <w:rsid w:val="063B1756"/>
    <w:rsid w:val="069115F2"/>
    <w:rsid w:val="06DD0C82"/>
    <w:rsid w:val="0707363B"/>
    <w:rsid w:val="0763298F"/>
    <w:rsid w:val="07A11361"/>
    <w:rsid w:val="080D0D55"/>
    <w:rsid w:val="08157AE1"/>
    <w:rsid w:val="0825567C"/>
    <w:rsid w:val="086C5A56"/>
    <w:rsid w:val="087F35BC"/>
    <w:rsid w:val="08813521"/>
    <w:rsid w:val="08F41A4E"/>
    <w:rsid w:val="0910673E"/>
    <w:rsid w:val="097A2654"/>
    <w:rsid w:val="0A0E7D29"/>
    <w:rsid w:val="0A330DAF"/>
    <w:rsid w:val="0A385F09"/>
    <w:rsid w:val="0A97504B"/>
    <w:rsid w:val="0ABC787A"/>
    <w:rsid w:val="0AD23D73"/>
    <w:rsid w:val="0AD94E03"/>
    <w:rsid w:val="0ADC1453"/>
    <w:rsid w:val="0AE61793"/>
    <w:rsid w:val="0CF7544D"/>
    <w:rsid w:val="0CFA0468"/>
    <w:rsid w:val="0D1B1CF0"/>
    <w:rsid w:val="0D3D6762"/>
    <w:rsid w:val="0DC60C3F"/>
    <w:rsid w:val="0E4618E3"/>
    <w:rsid w:val="0E54073E"/>
    <w:rsid w:val="0E8A0928"/>
    <w:rsid w:val="0EAA7272"/>
    <w:rsid w:val="0EF429DA"/>
    <w:rsid w:val="0F282DF3"/>
    <w:rsid w:val="0F5628D5"/>
    <w:rsid w:val="0F6D6335"/>
    <w:rsid w:val="0F8D62D0"/>
    <w:rsid w:val="0FD56DED"/>
    <w:rsid w:val="101B23F4"/>
    <w:rsid w:val="10833B7A"/>
    <w:rsid w:val="10F01A53"/>
    <w:rsid w:val="110E2A30"/>
    <w:rsid w:val="110E66FB"/>
    <w:rsid w:val="112F4487"/>
    <w:rsid w:val="11B117E0"/>
    <w:rsid w:val="121B7F7C"/>
    <w:rsid w:val="124D75D6"/>
    <w:rsid w:val="1259042E"/>
    <w:rsid w:val="127314F5"/>
    <w:rsid w:val="13041716"/>
    <w:rsid w:val="13603B5E"/>
    <w:rsid w:val="13A80548"/>
    <w:rsid w:val="13E842C6"/>
    <w:rsid w:val="14205A26"/>
    <w:rsid w:val="142B389B"/>
    <w:rsid w:val="144827D8"/>
    <w:rsid w:val="1482747D"/>
    <w:rsid w:val="15025C81"/>
    <w:rsid w:val="15486F75"/>
    <w:rsid w:val="15985966"/>
    <w:rsid w:val="15AA7688"/>
    <w:rsid w:val="15B2670E"/>
    <w:rsid w:val="16337D5F"/>
    <w:rsid w:val="16AA7B89"/>
    <w:rsid w:val="170A6DE4"/>
    <w:rsid w:val="173E1575"/>
    <w:rsid w:val="178D425A"/>
    <w:rsid w:val="17AC7B6A"/>
    <w:rsid w:val="18067FB7"/>
    <w:rsid w:val="18080B88"/>
    <w:rsid w:val="183474C6"/>
    <w:rsid w:val="196D0D30"/>
    <w:rsid w:val="19F94944"/>
    <w:rsid w:val="1A4E66AD"/>
    <w:rsid w:val="1B4C03C8"/>
    <w:rsid w:val="1BC1504C"/>
    <w:rsid w:val="1C194B41"/>
    <w:rsid w:val="1C892F4C"/>
    <w:rsid w:val="1CF3654C"/>
    <w:rsid w:val="1D011171"/>
    <w:rsid w:val="1D230795"/>
    <w:rsid w:val="1D35134C"/>
    <w:rsid w:val="1D8D0E2D"/>
    <w:rsid w:val="1DD52376"/>
    <w:rsid w:val="1E6B4F1A"/>
    <w:rsid w:val="1E8B7E75"/>
    <w:rsid w:val="1E9A7047"/>
    <w:rsid w:val="1EA26966"/>
    <w:rsid w:val="1EB1375C"/>
    <w:rsid w:val="1EF903BC"/>
    <w:rsid w:val="1F0167D4"/>
    <w:rsid w:val="1F04592B"/>
    <w:rsid w:val="1F2A3A2D"/>
    <w:rsid w:val="1F6F6F90"/>
    <w:rsid w:val="20341921"/>
    <w:rsid w:val="207A4247"/>
    <w:rsid w:val="211100F2"/>
    <w:rsid w:val="21963F12"/>
    <w:rsid w:val="21A0056A"/>
    <w:rsid w:val="21B624C3"/>
    <w:rsid w:val="21D05323"/>
    <w:rsid w:val="21FA3B91"/>
    <w:rsid w:val="220A6F5C"/>
    <w:rsid w:val="220D18CD"/>
    <w:rsid w:val="221A105B"/>
    <w:rsid w:val="22495DD9"/>
    <w:rsid w:val="224D3FBA"/>
    <w:rsid w:val="22A06FC8"/>
    <w:rsid w:val="22AF0EFC"/>
    <w:rsid w:val="23075CDD"/>
    <w:rsid w:val="231230D8"/>
    <w:rsid w:val="231F69AC"/>
    <w:rsid w:val="235E31D0"/>
    <w:rsid w:val="238B150C"/>
    <w:rsid w:val="23EB36A9"/>
    <w:rsid w:val="24095536"/>
    <w:rsid w:val="240B7587"/>
    <w:rsid w:val="24335886"/>
    <w:rsid w:val="246B34D0"/>
    <w:rsid w:val="24716E56"/>
    <w:rsid w:val="24C921A3"/>
    <w:rsid w:val="250379B2"/>
    <w:rsid w:val="25457511"/>
    <w:rsid w:val="256D36DF"/>
    <w:rsid w:val="259D552A"/>
    <w:rsid w:val="26383E35"/>
    <w:rsid w:val="268B5621"/>
    <w:rsid w:val="278B072B"/>
    <w:rsid w:val="279D2BCC"/>
    <w:rsid w:val="28216F8A"/>
    <w:rsid w:val="284A7E28"/>
    <w:rsid w:val="284E5198"/>
    <w:rsid w:val="285A3DFD"/>
    <w:rsid w:val="286A26E1"/>
    <w:rsid w:val="28A20027"/>
    <w:rsid w:val="28C27782"/>
    <w:rsid w:val="28C93871"/>
    <w:rsid w:val="2A055177"/>
    <w:rsid w:val="2A2F17F6"/>
    <w:rsid w:val="2A411201"/>
    <w:rsid w:val="2A4C7F05"/>
    <w:rsid w:val="2A644D5D"/>
    <w:rsid w:val="2B5118E0"/>
    <w:rsid w:val="2B985B2A"/>
    <w:rsid w:val="2BC3724D"/>
    <w:rsid w:val="2BC57A39"/>
    <w:rsid w:val="2BD64241"/>
    <w:rsid w:val="2BF825D5"/>
    <w:rsid w:val="2C3B026E"/>
    <w:rsid w:val="2CC93DAF"/>
    <w:rsid w:val="2D0D6637"/>
    <w:rsid w:val="2D493199"/>
    <w:rsid w:val="2DA37ABC"/>
    <w:rsid w:val="2DB96561"/>
    <w:rsid w:val="2E06057D"/>
    <w:rsid w:val="2E891FFF"/>
    <w:rsid w:val="2E914AD4"/>
    <w:rsid w:val="2EB73981"/>
    <w:rsid w:val="2EFF2824"/>
    <w:rsid w:val="2F782352"/>
    <w:rsid w:val="2FEB7F71"/>
    <w:rsid w:val="3041477D"/>
    <w:rsid w:val="3066444F"/>
    <w:rsid w:val="307475A4"/>
    <w:rsid w:val="307D10E5"/>
    <w:rsid w:val="309A1BF4"/>
    <w:rsid w:val="30AC7246"/>
    <w:rsid w:val="30EA6D99"/>
    <w:rsid w:val="315F2A1C"/>
    <w:rsid w:val="31AE46C5"/>
    <w:rsid w:val="31C05CE3"/>
    <w:rsid w:val="31D308DC"/>
    <w:rsid w:val="31E97FDC"/>
    <w:rsid w:val="3280533E"/>
    <w:rsid w:val="32CD6D74"/>
    <w:rsid w:val="33330EE6"/>
    <w:rsid w:val="336B161C"/>
    <w:rsid w:val="33C12D1A"/>
    <w:rsid w:val="3450051A"/>
    <w:rsid w:val="347A376D"/>
    <w:rsid w:val="349E2A64"/>
    <w:rsid w:val="34F04F16"/>
    <w:rsid w:val="350E6BB0"/>
    <w:rsid w:val="35794A36"/>
    <w:rsid w:val="35893196"/>
    <w:rsid w:val="361125F0"/>
    <w:rsid w:val="361914B9"/>
    <w:rsid w:val="363C1AE4"/>
    <w:rsid w:val="36924540"/>
    <w:rsid w:val="369B58A8"/>
    <w:rsid w:val="376C0480"/>
    <w:rsid w:val="37DC76ED"/>
    <w:rsid w:val="37F910A7"/>
    <w:rsid w:val="38057963"/>
    <w:rsid w:val="38694CEF"/>
    <w:rsid w:val="38B14F95"/>
    <w:rsid w:val="38E458F0"/>
    <w:rsid w:val="38F81E34"/>
    <w:rsid w:val="39227F9C"/>
    <w:rsid w:val="39234A3C"/>
    <w:rsid w:val="394830D0"/>
    <w:rsid w:val="39756033"/>
    <w:rsid w:val="39CE4B4C"/>
    <w:rsid w:val="3A8A0E82"/>
    <w:rsid w:val="3AAE6B18"/>
    <w:rsid w:val="3AE64FAE"/>
    <w:rsid w:val="3AEB6C3C"/>
    <w:rsid w:val="3AF51873"/>
    <w:rsid w:val="3B697E1C"/>
    <w:rsid w:val="3BCE4288"/>
    <w:rsid w:val="3BDB7C6E"/>
    <w:rsid w:val="3C0E2AF2"/>
    <w:rsid w:val="3C9A3496"/>
    <w:rsid w:val="3CFB68AA"/>
    <w:rsid w:val="3D5B21BB"/>
    <w:rsid w:val="3DB042A3"/>
    <w:rsid w:val="3DBD20C5"/>
    <w:rsid w:val="3E176543"/>
    <w:rsid w:val="3E186E71"/>
    <w:rsid w:val="3E2259CC"/>
    <w:rsid w:val="3E343560"/>
    <w:rsid w:val="3E3A33B1"/>
    <w:rsid w:val="3EA75A8D"/>
    <w:rsid w:val="3F1414F9"/>
    <w:rsid w:val="3F334649"/>
    <w:rsid w:val="3FE04386"/>
    <w:rsid w:val="40556B7E"/>
    <w:rsid w:val="409C7AAF"/>
    <w:rsid w:val="40D37010"/>
    <w:rsid w:val="414D2C74"/>
    <w:rsid w:val="41D97445"/>
    <w:rsid w:val="41DA66CD"/>
    <w:rsid w:val="41E3371F"/>
    <w:rsid w:val="41F91702"/>
    <w:rsid w:val="41FF3F4F"/>
    <w:rsid w:val="42644B7A"/>
    <w:rsid w:val="42B23762"/>
    <w:rsid w:val="42D51471"/>
    <w:rsid w:val="42FD4A47"/>
    <w:rsid w:val="430263F6"/>
    <w:rsid w:val="43F830C8"/>
    <w:rsid w:val="44E81399"/>
    <w:rsid w:val="44EE4E1B"/>
    <w:rsid w:val="45480D37"/>
    <w:rsid w:val="45962EDE"/>
    <w:rsid w:val="459A7D97"/>
    <w:rsid w:val="45E038EF"/>
    <w:rsid w:val="45F95ECB"/>
    <w:rsid w:val="464528F2"/>
    <w:rsid w:val="467F3838"/>
    <w:rsid w:val="46B56956"/>
    <w:rsid w:val="46D837A2"/>
    <w:rsid w:val="46E020F7"/>
    <w:rsid w:val="4735174B"/>
    <w:rsid w:val="47B066A9"/>
    <w:rsid w:val="48464255"/>
    <w:rsid w:val="486749D7"/>
    <w:rsid w:val="486808AC"/>
    <w:rsid w:val="4A323405"/>
    <w:rsid w:val="4A693801"/>
    <w:rsid w:val="4A8B1596"/>
    <w:rsid w:val="4AC75477"/>
    <w:rsid w:val="4AC81B36"/>
    <w:rsid w:val="4B2D2733"/>
    <w:rsid w:val="4BAC1752"/>
    <w:rsid w:val="4BBF249E"/>
    <w:rsid w:val="4C7351EA"/>
    <w:rsid w:val="4CA30703"/>
    <w:rsid w:val="4CAD259D"/>
    <w:rsid w:val="4CD4760E"/>
    <w:rsid w:val="4CD97275"/>
    <w:rsid w:val="4CFB0463"/>
    <w:rsid w:val="4D087662"/>
    <w:rsid w:val="4D246895"/>
    <w:rsid w:val="4DAE711F"/>
    <w:rsid w:val="4DC45A5C"/>
    <w:rsid w:val="4E1121F9"/>
    <w:rsid w:val="4E185882"/>
    <w:rsid w:val="4F6A6AEC"/>
    <w:rsid w:val="4F6E0AAF"/>
    <w:rsid w:val="4F743188"/>
    <w:rsid w:val="4FDA27FA"/>
    <w:rsid w:val="4FE075B0"/>
    <w:rsid w:val="4FEB555C"/>
    <w:rsid w:val="501F1BD6"/>
    <w:rsid w:val="50434A2F"/>
    <w:rsid w:val="507A7212"/>
    <w:rsid w:val="509830C3"/>
    <w:rsid w:val="50A77E17"/>
    <w:rsid w:val="50BF2A4D"/>
    <w:rsid w:val="50D7658E"/>
    <w:rsid w:val="51AD5DB4"/>
    <w:rsid w:val="52794483"/>
    <w:rsid w:val="529749EE"/>
    <w:rsid w:val="52AB3E23"/>
    <w:rsid w:val="52E11EAA"/>
    <w:rsid w:val="5327658F"/>
    <w:rsid w:val="53AF422B"/>
    <w:rsid w:val="53BE2028"/>
    <w:rsid w:val="53D17ACE"/>
    <w:rsid w:val="544600E1"/>
    <w:rsid w:val="544E417D"/>
    <w:rsid w:val="545A012E"/>
    <w:rsid w:val="5497344A"/>
    <w:rsid w:val="552118E3"/>
    <w:rsid w:val="552644FF"/>
    <w:rsid w:val="55991578"/>
    <w:rsid w:val="56787480"/>
    <w:rsid w:val="56B156F0"/>
    <w:rsid w:val="56B65072"/>
    <w:rsid w:val="570B3DEE"/>
    <w:rsid w:val="57140C01"/>
    <w:rsid w:val="574715E0"/>
    <w:rsid w:val="57752B32"/>
    <w:rsid w:val="577C5934"/>
    <w:rsid w:val="57AF5028"/>
    <w:rsid w:val="581D447C"/>
    <w:rsid w:val="582F1D57"/>
    <w:rsid w:val="5867407D"/>
    <w:rsid w:val="58B523C0"/>
    <w:rsid w:val="59B261DA"/>
    <w:rsid w:val="59C40D2F"/>
    <w:rsid w:val="59C87B5F"/>
    <w:rsid w:val="59E63A19"/>
    <w:rsid w:val="59F40667"/>
    <w:rsid w:val="5A0218A9"/>
    <w:rsid w:val="5A4B14F8"/>
    <w:rsid w:val="5A5F10F8"/>
    <w:rsid w:val="5AD60824"/>
    <w:rsid w:val="5AEB72E4"/>
    <w:rsid w:val="5B7C791C"/>
    <w:rsid w:val="5CFC30F0"/>
    <w:rsid w:val="5D796CE6"/>
    <w:rsid w:val="5D932D22"/>
    <w:rsid w:val="5DD00DF5"/>
    <w:rsid w:val="5E4612C6"/>
    <w:rsid w:val="5E9460C9"/>
    <w:rsid w:val="5EB8584A"/>
    <w:rsid w:val="5EE37EC6"/>
    <w:rsid w:val="5F027957"/>
    <w:rsid w:val="5F0341C5"/>
    <w:rsid w:val="5F1406A7"/>
    <w:rsid w:val="5FCF648B"/>
    <w:rsid w:val="5FF043D4"/>
    <w:rsid w:val="603729D3"/>
    <w:rsid w:val="603E237F"/>
    <w:rsid w:val="60B20E15"/>
    <w:rsid w:val="618C1F01"/>
    <w:rsid w:val="62A12CE7"/>
    <w:rsid w:val="632A19E0"/>
    <w:rsid w:val="634F4CC5"/>
    <w:rsid w:val="63A82373"/>
    <w:rsid w:val="647E0E98"/>
    <w:rsid w:val="64A47D5C"/>
    <w:rsid w:val="64D4222C"/>
    <w:rsid w:val="65183008"/>
    <w:rsid w:val="6575315E"/>
    <w:rsid w:val="65F21842"/>
    <w:rsid w:val="66065A8D"/>
    <w:rsid w:val="66512B78"/>
    <w:rsid w:val="66AF5FFF"/>
    <w:rsid w:val="67566C9E"/>
    <w:rsid w:val="676625F5"/>
    <w:rsid w:val="67AA6A6D"/>
    <w:rsid w:val="67CA7D85"/>
    <w:rsid w:val="67E25077"/>
    <w:rsid w:val="67ED6594"/>
    <w:rsid w:val="680D667F"/>
    <w:rsid w:val="6835196F"/>
    <w:rsid w:val="68524EAA"/>
    <w:rsid w:val="685D245D"/>
    <w:rsid w:val="68BC4680"/>
    <w:rsid w:val="68F95464"/>
    <w:rsid w:val="69994E09"/>
    <w:rsid w:val="69AA5BC7"/>
    <w:rsid w:val="6A6A596C"/>
    <w:rsid w:val="6AAD555E"/>
    <w:rsid w:val="6AE5125B"/>
    <w:rsid w:val="6B3779F5"/>
    <w:rsid w:val="6B7E750B"/>
    <w:rsid w:val="6B8B128C"/>
    <w:rsid w:val="6BD0097A"/>
    <w:rsid w:val="6BE52E7C"/>
    <w:rsid w:val="6C5F7D74"/>
    <w:rsid w:val="6C9A764F"/>
    <w:rsid w:val="6CAF324F"/>
    <w:rsid w:val="6D0854BF"/>
    <w:rsid w:val="6D4134FF"/>
    <w:rsid w:val="6D591911"/>
    <w:rsid w:val="6D664154"/>
    <w:rsid w:val="6D955C9B"/>
    <w:rsid w:val="6D9A03E9"/>
    <w:rsid w:val="6D9F08D2"/>
    <w:rsid w:val="6E511B7C"/>
    <w:rsid w:val="6EA405A8"/>
    <w:rsid w:val="6EC66A54"/>
    <w:rsid w:val="6F007244"/>
    <w:rsid w:val="6F097216"/>
    <w:rsid w:val="6F56144C"/>
    <w:rsid w:val="6F885D27"/>
    <w:rsid w:val="6F9D29EC"/>
    <w:rsid w:val="6FAE26B6"/>
    <w:rsid w:val="70763CF5"/>
    <w:rsid w:val="70B722F7"/>
    <w:rsid w:val="70D266F7"/>
    <w:rsid w:val="70E571AB"/>
    <w:rsid w:val="72305E0B"/>
    <w:rsid w:val="727B2BA8"/>
    <w:rsid w:val="728548CD"/>
    <w:rsid w:val="72A1058A"/>
    <w:rsid w:val="72E500A0"/>
    <w:rsid w:val="734719EF"/>
    <w:rsid w:val="73724DBC"/>
    <w:rsid w:val="73C031B8"/>
    <w:rsid w:val="73E23D0A"/>
    <w:rsid w:val="74023385"/>
    <w:rsid w:val="74883276"/>
    <w:rsid w:val="748F0196"/>
    <w:rsid w:val="74B7721B"/>
    <w:rsid w:val="74CD1C96"/>
    <w:rsid w:val="74DD76E9"/>
    <w:rsid w:val="751D5AFD"/>
    <w:rsid w:val="75260C90"/>
    <w:rsid w:val="75520533"/>
    <w:rsid w:val="75BF49C4"/>
    <w:rsid w:val="7623339A"/>
    <w:rsid w:val="772578F6"/>
    <w:rsid w:val="772E4B1A"/>
    <w:rsid w:val="77726A30"/>
    <w:rsid w:val="777E27C8"/>
    <w:rsid w:val="77B072BC"/>
    <w:rsid w:val="77F508A2"/>
    <w:rsid w:val="786869A0"/>
    <w:rsid w:val="7872356C"/>
    <w:rsid w:val="787540F8"/>
    <w:rsid w:val="788F581C"/>
    <w:rsid w:val="79225BD1"/>
    <w:rsid w:val="79594426"/>
    <w:rsid w:val="7A2E5F71"/>
    <w:rsid w:val="7A4C192C"/>
    <w:rsid w:val="7A69630A"/>
    <w:rsid w:val="7AA22F8A"/>
    <w:rsid w:val="7AA93F69"/>
    <w:rsid w:val="7AAB5ED2"/>
    <w:rsid w:val="7ABA65FD"/>
    <w:rsid w:val="7ABE3052"/>
    <w:rsid w:val="7B48783E"/>
    <w:rsid w:val="7B4D4CCA"/>
    <w:rsid w:val="7B8C420F"/>
    <w:rsid w:val="7C296AB6"/>
    <w:rsid w:val="7C6627D0"/>
    <w:rsid w:val="7C7E57DB"/>
    <w:rsid w:val="7CD37334"/>
    <w:rsid w:val="7D0535E7"/>
    <w:rsid w:val="7D251AD8"/>
    <w:rsid w:val="7D911409"/>
    <w:rsid w:val="7DD03758"/>
    <w:rsid w:val="7E857229"/>
    <w:rsid w:val="7ECC36B3"/>
    <w:rsid w:val="7F9B3FA2"/>
    <w:rsid w:val="7FAC20DD"/>
    <w:rsid w:val="7FF41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4"/>
    <w:qFormat/>
    <w:uiPriority w:val="9"/>
    <w:pPr>
      <w:keepNext/>
      <w:keepLines/>
      <w:spacing w:before="240" w:after="240"/>
      <w:jc w:val="center"/>
      <w:outlineLvl w:val="0"/>
    </w:pPr>
    <w:rPr>
      <w:rFonts w:ascii="Calibri" w:hAnsi="Calibri" w:eastAsia="宋体" w:cs="黑体"/>
      <w:b/>
      <w:bCs/>
      <w:kern w:val="44"/>
      <w:sz w:val="28"/>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35"/>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22">
    <w:name w:val="Default Paragraph Font"/>
    <w:semiHidden/>
    <w:unhideWhenUsed/>
    <w:uiPriority w:val="1"/>
  </w:style>
  <w:style w:type="table" w:default="1" w:styleId="30">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37"/>
    <w:unhideWhenUsed/>
    <w:qFormat/>
    <w:uiPriority w:val="99"/>
    <w:rPr>
      <w:b/>
      <w:bCs/>
    </w:rPr>
  </w:style>
  <w:style w:type="paragraph" w:styleId="6">
    <w:name w:val="annotation text"/>
    <w:basedOn w:val="1"/>
    <w:link w:val="36"/>
    <w:unhideWhenUsed/>
    <w:qFormat/>
    <w:uiPriority w:val="99"/>
    <w:pPr>
      <w:jc w:val="left"/>
    </w:pPr>
    <w:rPr>
      <w:rFonts w:ascii="Calibri" w:hAnsi="Calibri" w:eastAsia="宋体" w:cs="黑体"/>
    </w:rPr>
  </w:style>
  <w:style w:type="paragraph" w:styleId="7">
    <w:name w:val="Normal Indent"/>
    <w:basedOn w:val="1"/>
    <w:unhideWhenUsed/>
    <w:qFormat/>
    <w:uiPriority w:val="99"/>
    <w:pPr>
      <w:ind w:firstLine="420"/>
    </w:pPr>
  </w:style>
  <w:style w:type="paragraph" w:styleId="8">
    <w:name w:val="Document Map"/>
    <w:basedOn w:val="1"/>
    <w:link w:val="47"/>
    <w:semiHidden/>
    <w:unhideWhenUsed/>
    <w:qFormat/>
    <w:uiPriority w:val="0"/>
    <w:rPr>
      <w:rFonts w:ascii="宋体" w:hAnsi="Calibri" w:eastAsia="宋体" w:cs="黑体"/>
      <w:sz w:val="24"/>
      <w:szCs w:val="24"/>
    </w:rPr>
  </w:style>
  <w:style w:type="paragraph" w:styleId="9">
    <w:name w:val="Body Text"/>
    <w:basedOn w:val="1"/>
    <w:semiHidden/>
    <w:unhideWhenUsed/>
    <w:qFormat/>
    <w:uiPriority w:val="99"/>
    <w:pPr>
      <w:spacing w:after="120"/>
    </w:pPr>
  </w:style>
  <w:style w:type="paragraph" w:styleId="10">
    <w:name w:val="Body Text Indent"/>
    <w:basedOn w:val="1"/>
    <w:qFormat/>
    <w:uiPriority w:val="0"/>
    <w:pPr>
      <w:ind w:firstLine="540" w:firstLineChars="225"/>
    </w:pPr>
    <w:rPr>
      <w:sz w:val="24"/>
    </w:rPr>
  </w:style>
  <w:style w:type="paragraph" w:styleId="11">
    <w:name w:val="Block Text"/>
    <w:basedOn w:val="1"/>
    <w:semiHidden/>
    <w:qFormat/>
    <w:uiPriority w:val="0"/>
    <w:pPr>
      <w:ind w:left="113" w:right="113"/>
      <w:jc w:val="center"/>
    </w:pPr>
    <w:rPr>
      <w:rFonts w:ascii="黑体" w:hAnsi="Times New Roman" w:eastAsia="黑体" w:cs="Times New Roman"/>
      <w:bCs/>
      <w:szCs w:val="24"/>
    </w:rPr>
  </w:style>
  <w:style w:type="paragraph" w:styleId="12">
    <w:name w:val="Plain Text"/>
    <w:basedOn w:val="1"/>
    <w:link w:val="38"/>
    <w:qFormat/>
    <w:uiPriority w:val="0"/>
    <w:rPr>
      <w:rFonts w:ascii="宋体" w:hAnsi="Courier New" w:eastAsia="宋体" w:cs="Times New Roman"/>
      <w:szCs w:val="20"/>
    </w:rPr>
  </w:style>
  <w:style w:type="paragraph" w:styleId="13">
    <w:name w:val="Date"/>
    <w:basedOn w:val="1"/>
    <w:next w:val="1"/>
    <w:link w:val="39"/>
    <w:semiHidden/>
    <w:qFormat/>
    <w:uiPriority w:val="0"/>
    <w:pPr>
      <w:ind w:left="100" w:leftChars="2500"/>
    </w:pPr>
    <w:rPr>
      <w:rFonts w:ascii="Times New Roman" w:hAnsi="Times New Roman" w:eastAsia="仿宋_GB2312" w:cs="Times New Roman"/>
      <w:sz w:val="28"/>
      <w:szCs w:val="24"/>
    </w:rPr>
  </w:style>
  <w:style w:type="paragraph" w:styleId="14">
    <w:name w:val="Balloon Text"/>
    <w:basedOn w:val="1"/>
    <w:link w:val="40"/>
    <w:unhideWhenUsed/>
    <w:qFormat/>
    <w:uiPriority w:val="99"/>
    <w:rPr>
      <w:rFonts w:ascii="Calibri" w:hAnsi="Calibri" w:eastAsia="宋体" w:cs="黑体"/>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tabs>
        <w:tab w:val="right" w:leader="dot" w:pos="8302"/>
      </w:tabs>
      <w:spacing w:before="240" w:after="240" w:line="360" w:lineRule="auto"/>
      <w:ind w:firstLine="420" w:firstLineChars="200"/>
    </w:pPr>
    <w:rPr>
      <w:rFonts w:ascii="Calibri" w:hAnsi="Calibri" w:eastAsia="宋体" w:cs="黑体"/>
    </w:rPr>
  </w:style>
  <w:style w:type="paragraph" w:styleId="18">
    <w:name w:val="footnote text"/>
    <w:basedOn w:val="1"/>
    <w:link w:val="41"/>
    <w:qFormat/>
    <w:uiPriority w:val="99"/>
    <w:pPr>
      <w:snapToGrid w:val="0"/>
      <w:jc w:val="left"/>
    </w:pPr>
    <w:rPr>
      <w:rFonts w:ascii="Times New Roman" w:hAnsi="Times New Roman" w:eastAsia="宋体" w:cs="Times New Roman"/>
      <w:sz w:val="18"/>
      <w:szCs w:val="18"/>
    </w:rPr>
  </w:style>
  <w:style w:type="paragraph" w:styleId="19">
    <w:name w:val="HTML Preformatted"/>
    <w:basedOn w:val="1"/>
    <w:link w:val="4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宋体" w:cs="Courier New"/>
      <w:kern w:val="0"/>
      <w:sz w:val="20"/>
      <w:szCs w:val="20"/>
    </w:rPr>
  </w:style>
  <w:style w:type="paragraph" w:styleId="2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42"/>
    <w:qFormat/>
    <w:uiPriority w:val="10"/>
    <w:pPr>
      <w:spacing w:beforeLines="100" w:after="60" w:afterAutospacing="1"/>
      <w:jc w:val="center"/>
      <w:outlineLvl w:val="0"/>
    </w:pPr>
    <w:rPr>
      <w:rFonts w:ascii="Cambria" w:hAnsi="Cambria" w:eastAsia="黑体" w:cs="黑体"/>
      <w:bCs/>
      <w:sz w:val="32"/>
      <w:szCs w:val="32"/>
    </w:rPr>
  </w:style>
  <w:style w:type="character" w:styleId="23">
    <w:name w:val="Strong"/>
    <w:basedOn w:val="22"/>
    <w:qFormat/>
    <w:uiPriority w:val="0"/>
    <w:rPr>
      <w:b/>
      <w:bCs/>
    </w:rPr>
  </w:style>
  <w:style w:type="character" w:styleId="24">
    <w:name w:val="page number"/>
    <w:semiHidden/>
    <w:unhideWhenUsed/>
    <w:qFormat/>
    <w:uiPriority w:val="0"/>
  </w:style>
  <w:style w:type="character" w:styleId="25">
    <w:name w:val="FollowedHyperlink"/>
    <w:semiHidden/>
    <w:unhideWhenUsed/>
    <w:qFormat/>
    <w:uiPriority w:val="0"/>
    <w:rPr>
      <w:color w:val="954F72"/>
      <w:u w:val="single"/>
    </w:rPr>
  </w:style>
  <w:style w:type="character" w:styleId="26">
    <w:name w:val="Emphasis"/>
    <w:qFormat/>
    <w:uiPriority w:val="20"/>
    <w:rPr>
      <w:color w:val="CC0000"/>
    </w:rPr>
  </w:style>
  <w:style w:type="character" w:styleId="27">
    <w:name w:val="Hyperlink"/>
    <w:basedOn w:val="22"/>
    <w:unhideWhenUsed/>
    <w:qFormat/>
    <w:uiPriority w:val="99"/>
    <w:rPr>
      <w:color w:val="0000FF"/>
      <w:u w:val="single"/>
    </w:rPr>
  </w:style>
  <w:style w:type="character" w:styleId="28">
    <w:name w:val="annotation reference"/>
    <w:unhideWhenUsed/>
    <w:qFormat/>
    <w:uiPriority w:val="99"/>
    <w:rPr>
      <w:sz w:val="21"/>
      <w:szCs w:val="21"/>
    </w:rPr>
  </w:style>
  <w:style w:type="character" w:styleId="29">
    <w:name w:val="footnote reference"/>
    <w:qFormat/>
    <w:uiPriority w:val="99"/>
    <w:rPr>
      <w:vertAlign w:val="superscript"/>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2">
    <w:name w:val="页眉 Char"/>
    <w:basedOn w:val="22"/>
    <w:link w:val="16"/>
    <w:qFormat/>
    <w:uiPriority w:val="99"/>
    <w:rPr>
      <w:sz w:val="18"/>
      <w:szCs w:val="18"/>
    </w:rPr>
  </w:style>
  <w:style w:type="character" w:customStyle="1" w:styleId="33">
    <w:name w:val="页脚 Char"/>
    <w:basedOn w:val="22"/>
    <w:link w:val="15"/>
    <w:qFormat/>
    <w:uiPriority w:val="99"/>
    <w:rPr>
      <w:sz w:val="18"/>
      <w:szCs w:val="18"/>
    </w:rPr>
  </w:style>
  <w:style w:type="character" w:customStyle="1" w:styleId="34">
    <w:name w:val="标题 1 Char"/>
    <w:basedOn w:val="22"/>
    <w:link w:val="2"/>
    <w:qFormat/>
    <w:uiPriority w:val="9"/>
    <w:rPr>
      <w:rFonts w:ascii="Calibri" w:hAnsi="Calibri" w:eastAsia="宋体" w:cs="黑体"/>
      <w:b/>
      <w:bCs/>
      <w:kern w:val="44"/>
      <w:sz w:val="28"/>
      <w:szCs w:val="44"/>
    </w:rPr>
  </w:style>
  <w:style w:type="character" w:customStyle="1" w:styleId="35">
    <w:name w:val="标题 3 Char"/>
    <w:basedOn w:val="22"/>
    <w:link w:val="4"/>
    <w:qFormat/>
    <w:uiPriority w:val="0"/>
    <w:rPr>
      <w:rFonts w:ascii="Times New Roman" w:hAnsi="Times New Roman" w:eastAsia="宋体" w:cs="Times New Roman"/>
      <w:b/>
      <w:bCs/>
      <w:sz w:val="32"/>
      <w:szCs w:val="32"/>
    </w:rPr>
  </w:style>
  <w:style w:type="character" w:customStyle="1" w:styleId="36">
    <w:name w:val="批注文字 Char"/>
    <w:basedOn w:val="22"/>
    <w:link w:val="6"/>
    <w:qFormat/>
    <w:uiPriority w:val="99"/>
    <w:rPr>
      <w:rFonts w:ascii="Calibri" w:hAnsi="Calibri" w:eastAsia="宋体" w:cs="黑体"/>
    </w:rPr>
  </w:style>
  <w:style w:type="character" w:customStyle="1" w:styleId="37">
    <w:name w:val="批注主题 Char"/>
    <w:basedOn w:val="36"/>
    <w:link w:val="5"/>
    <w:qFormat/>
    <w:uiPriority w:val="99"/>
    <w:rPr>
      <w:b/>
      <w:bCs/>
    </w:rPr>
  </w:style>
  <w:style w:type="character" w:customStyle="1" w:styleId="38">
    <w:name w:val="纯文本 Char"/>
    <w:basedOn w:val="22"/>
    <w:link w:val="12"/>
    <w:qFormat/>
    <w:uiPriority w:val="0"/>
    <w:rPr>
      <w:rFonts w:ascii="宋体" w:hAnsi="Courier New" w:eastAsia="宋体" w:cs="Times New Roman"/>
      <w:szCs w:val="20"/>
    </w:rPr>
  </w:style>
  <w:style w:type="character" w:customStyle="1" w:styleId="39">
    <w:name w:val="日期 Char"/>
    <w:basedOn w:val="22"/>
    <w:link w:val="13"/>
    <w:semiHidden/>
    <w:qFormat/>
    <w:uiPriority w:val="0"/>
    <w:rPr>
      <w:rFonts w:ascii="Times New Roman" w:hAnsi="Times New Roman" w:eastAsia="仿宋_GB2312" w:cs="Times New Roman"/>
      <w:sz w:val="28"/>
      <w:szCs w:val="24"/>
    </w:rPr>
  </w:style>
  <w:style w:type="character" w:customStyle="1" w:styleId="40">
    <w:name w:val="批注框文本 Char"/>
    <w:basedOn w:val="22"/>
    <w:link w:val="14"/>
    <w:qFormat/>
    <w:uiPriority w:val="99"/>
    <w:rPr>
      <w:rFonts w:ascii="Calibri" w:hAnsi="Calibri" w:eastAsia="宋体" w:cs="黑体"/>
      <w:sz w:val="18"/>
      <w:szCs w:val="18"/>
    </w:rPr>
  </w:style>
  <w:style w:type="character" w:customStyle="1" w:styleId="41">
    <w:name w:val="脚注文本 Char"/>
    <w:basedOn w:val="22"/>
    <w:link w:val="18"/>
    <w:qFormat/>
    <w:uiPriority w:val="99"/>
    <w:rPr>
      <w:rFonts w:ascii="Times New Roman" w:hAnsi="Times New Roman" w:eastAsia="宋体" w:cs="Times New Roman"/>
      <w:sz w:val="18"/>
      <w:szCs w:val="18"/>
    </w:rPr>
  </w:style>
  <w:style w:type="character" w:customStyle="1" w:styleId="42">
    <w:name w:val="标题 Char"/>
    <w:basedOn w:val="22"/>
    <w:link w:val="21"/>
    <w:qFormat/>
    <w:uiPriority w:val="10"/>
    <w:rPr>
      <w:rFonts w:ascii="Cambria" w:hAnsi="Cambria" w:eastAsia="黑体" w:cs="黑体"/>
      <w:bCs/>
      <w:sz w:val="32"/>
      <w:szCs w:val="32"/>
    </w:rPr>
  </w:style>
  <w:style w:type="paragraph" w:customStyle="1" w:styleId="43">
    <w:name w:val="列出段落1"/>
    <w:basedOn w:val="1"/>
    <w:qFormat/>
    <w:uiPriority w:val="34"/>
    <w:pPr>
      <w:ind w:firstLine="420" w:firstLineChars="200"/>
    </w:pPr>
    <w:rPr>
      <w:rFonts w:ascii="Calibri" w:hAnsi="Calibri" w:eastAsia="宋体" w:cs="Times New Roman"/>
    </w:rPr>
  </w:style>
  <w:style w:type="paragraph" w:customStyle="1" w:styleId="44">
    <w:name w:val="TOC 标题1"/>
    <w:basedOn w:val="2"/>
    <w:next w:val="1"/>
    <w:unhideWhenUsed/>
    <w:qFormat/>
    <w:uiPriority w:val="39"/>
    <w:pPr>
      <w:widowControl/>
      <w:spacing w:before="480" w:after="0" w:line="276" w:lineRule="auto"/>
      <w:jc w:val="left"/>
      <w:outlineLvl w:val="9"/>
    </w:pPr>
    <w:rPr>
      <w:rFonts w:ascii="Cambria" w:hAnsi="Cambria"/>
      <w:color w:val="365F90"/>
      <w:kern w:val="0"/>
      <w:szCs w:val="28"/>
    </w:rPr>
  </w:style>
  <w:style w:type="paragraph" w:customStyle="1" w:styleId="45">
    <w:name w:val="western"/>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46">
    <w:name w:val="标准"/>
    <w:basedOn w:val="1"/>
    <w:qFormat/>
    <w:uiPriority w:val="0"/>
    <w:pPr>
      <w:adjustRightInd w:val="0"/>
      <w:spacing w:before="120" w:after="120" w:line="312" w:lineRule="atLeast"/>
      <w:textAlignment w:val="baseline"/>
    </w:pPr>
    <w:rPr>
      <w:rFonts w:ascii="宋体" w:hAnsi="Times New Roman" w:eastAsia="宋体" w:cs="Times New Roman"/>
      <w:kern w:val="0"/>
      <w:szCs w:val="20"/>
    </w:rPr>
  </w:style>
  <w:style w:type="character" w:customStyle="1" w:styleId="47">
    <w:name w:val="文档结构图 Char"/>
    <w:basedOn w:val="22"/>
    <w:link w:val="8"/>
    <w:semiHidden/>
    <w:qFormat/>
    <w:uiPriority w:val="0"/>
    <w:rPr>
      <w:rFonts w:ascii="宋体" w:hAnsi="Calibri" w:eastAsia="宋体" w:cs="黑体"/>
      <w:sz w:val="24"/>
      <w:szCs w:val="24"/>
    </w:rPr>
  </w:style>
  <w:style w:type="character" w:customStyle="1" w:styleId="48">
    <w:name w:val="HTML 预设格式 Char"/>
    <w:basedOn w:val="22"/>
    <w:link w:val="19"/>
    <w:semiHidden/>
    <w:qFormat/>
    <w:uiPriority w:val="99"/>
    <w:rPr>
      <w:rFonts w:ascii="Courier New" w:hAnsi="Courier New" w:eastAsia="宋体" w:cs="Courier New"/>
      <w:kern w:val="0"/>
      <w:sz w:val="20"/>
      <w:szCs w:val="20"/>
    </w:rPr>
  </w:style>
  <w:style w:type="character" w:customStyle="1" w:styleId="49">
    <w:name w:val="font31"/>
    <w:basedOn w:val="22"/>
    <w:qFormat/>
    <w:uiPriority w:val="0"/>
    <w:rPr>
      <w:rFonts w:hint="eastAsia" w:ascii="宋体" w:hAnsi="宋体" w:eastAsia="宋体" w:cs="宋体"/>
      <w:color w:val="000000"/>
      <w:sz w:val="22"/>
      <w:szCs w:val="22"/>
      <w:u w:val="none"/>
    </w:rPr>
  </w:style>
  <w:style w:type="character" w:customStyle="1" w:styleId="50">
    <w:name w:val="font21"/>
    <w:basedOn w:val="22"/>
    <w:qFormat/>
    <w:uiPriority w:val="0"/>
    <w:rPr>
      <w:rFonts w:ascii="Calibri" w:hAnsi="Calibri" w:cs="Calibri"/>
      <w:color w:val="000000"/>
      <w:sz w:val="22"/>
      <w:szCs w:val="22"/>
      <w:u w:val="none"/>
    </w:rPr>
  </w:style>
  <w:style w:type="character" w:customStyle="1" w:styleId="51">
    <w:name w:val="font11"/>
    <w:basedOn w:val="22"/>
    <w:qFormat/>
    <w:uiPriority w:val="0"/>
    <w:rPr>
      <w:rFonts w:ascii="Calibri" w:hAnsi="Calibri" w:cs="Calibri"/>
      <w:color w:val="000000"/>
      <w:sz w:val="22"/>
      <w:szCs w:val="22"/>
      <w:u w:val="none"/>
    </w:rPr>
  </w:style>
  <w:style w:type="character" w:customStyle="1" w:styleId="52">
    <w:name w:val="datatitle"/>
    <w:basedOn w:val="22"/>
    <w:qFormat/>
    <w:uiPriority w:val="0"/>
  </w:style>
  <w:style w:type="paragraph" w:customStyle="1" w:styleId="53">
    <w:name w:val="样式1"/>
    <w:basedOn w:val="6"/>
    <w:qFormat/>
    <w:uiPriority w:val="0"/>
    <w:pPr>
      <w:spacing w:line="360" w:lineRule="auto"/>
      <w:jc w:val="center"/>
    </w:pPr>
    <w:rPr>
      <w:rFonts w:ascii="黑体" w:eastAsia="黑体"/>
      <w:b/>
      <w:bCs/>
      <w:sz w:val="32"/>
      <w:szCs w:val="32"/>
    </w:rPr>
  </w:style>
  <w:style w:type="paragraph" w:customStyle="1" w:styleId="54">
    <w:name w:val="样式2"/>
    <w:basedOn w:val="6"/>
    <w:qFormat/>
    <w:uiPriority w:val="0"/>
    <w:pPr>
      <w:spacing w:line="360" w:lineRule="auto"/>
      <w:jc w:val="center"/>
    </w:pPr>
    <w:rPr>
      <w:rFonts w:eastAsia="黑体"/>
      <w:sz w:val="28"/>
      <w:szCs w:val="28"/>
    </w:rPr>
  </w:style>
  <w:style w:type="paragraph" w:customStyle="1" w:styleId="55">
    <w:name w:val="样式3"/>
    <w:basedOn w:val="1"/>
    <w:qFormat/>
    <w:uiPriority w:val="0"/>
    <w:pPr>
      <w:spacing w:beforeLines="50" w:line="360" w:lineRule="auto"/>
      <w:ind w:right="30"/>
    </w:pPr>
    <w:rPr>
      <w:rFonts w:ascii="黑体" w:hAnsi="宋体" w:eastAsia="黑体"/>
      <w:b/>
      <w:bCs/>
      <w:color w:val="000000"/>
      <w:spacing w:val="6"/>
      <w:kern w:val="0"/>
      <w:sz w:val="24"/>
    </w:rPr>
  </w:style>
  <w:style w:type="paragraph" w:customStyle="1" w:styleId="56">
    <w:name w:val="样式5"/>
    <w:basedOn w:val="57"/>
    <w:qFormat/>
    <w:uiPriority w:val="0"/>
    <w:pPr>
      <w:ind w:firstLine="420" w:firstLineChars="200"/>
    </w:pPr>
  </w:style>
  <w:style w:type="paragraph" w:customStyle="1" w:styleId="57">
    <w:name w:val="样式4"/>
    <w:basedOn w:val="1"/>
    <w:qFormat/>
    <w:uiPriority w:val="0"/>
    <w:pPr>
      <w:adjustRightInd w:val="0"/>
      <w:snapToGrid w:val="0"/>
      <w:spacing w:beforeLines="50" w:line="360" w:lineRule="auto"/>
      <w:ind w:right="28"/>
    </w:pPr>
    <w:rPr>
      <w:rFonts w:ascii="宋体" w:hAnsi="宋体"/>
    </w:rPr>
  </w:style>
  <w:style w:type="paragraph" w:customStyle="1" w:styleId="58">
    <w:name w:val="样式6"/>
    <w:basedOn w:val="1"/>
    <w:qFormat/>
    <w:uiPriority w:val="0"/>
    <w:pPr>
      <w:adjustRightInd w:val="0"/>
      <w:snapToGrid w:val="0"/>
      <w:spacing w:beforeLines="50" w:line="400" w:lineRule="exact"/>
      <w:ind w:left="1558" w:leftChars="200" w:right="30" w:hanging="1138" w:hangingChars="450"/>
    </w:pPr>
    <w:rPr>
      <w:rFonts w:ascii="黑体" w:hAnsi="宋体" w:eastAsia="黑体"/>
      <w:b/>
      <w:color w:val="000000"/>
      <w:spacing w:val="6"/>
      <w:kern w:val="0"/>
      <w:sz w:val="24"/>
    </w:rPr>
  </w:style>
  <w:style w:type="paragraph" w:customStyle="1" w:styleId="59">
    <w:name w:val="标题大"/>
    <w:basedOn w:val="1"/>
    <w:qFormat/>
    <w:uiPriority w:val="0"/>
    <w:pPr>
      <w:spacing w:line="360" w:lineRule="auto"/>
      <w:jc w:val="center"/>
    </w:pPr>
    <w:rPr>
      <w:rFonts w:ascii="黑体" w:eastAsia="黑体"/>
      <w:b/>
      <w:bCs/>
      <w:color w:val="FF0000"/>
      <w:sz w:val="32"/>
      <w:szCs w:val="32"/>
    </w:rPr>
  </w:style>
  <w:style w:type="paragraph" w:customStyle="1" w:styleId="60">
    <w:name w:val="一、"/>
    <w:basedOn w:val="1"/>
    <w:qFormat/>
    <w:uiPriority w:val="0"/>
    <w:pPr>
      <w:spacing w:beforeLines="50" w:line="360" w:lineRule="auto"/>
      <w:ind w:right="30"/>
    </w:pPr>
    <w:rPr>
      <w:rFonts w:ascii="黑体" w:hAnsi="宋体" w:eastAsia="黑体"/>
      <w:b/>
      <w:bCs/>
      <w:color w:val="FF0000"/>
      <w:spacing w:val="6"/>
      <w:kern w:val="0"/>
      <w:sz w:val="24"/>
      <w:szCs w:val="24"/>
    </w:rPr>
  </w:style>
  <w:style w:type="paragraph" w:customStyle="1" w:styleId="61">
    <w:name w:val="第一段"/>
    <w:basedOn w:val="1"/>
    <w:qFormat/>
    <w:uiPriority w:val="0"/>
    <w:pPr>
      <w:adjustRightInd w:val="0"/>
      <w:snapToGrid w:val="0"/>
      <w:spacing w:beforeLines="50" w:line="360" w:lineRule="auto"/>
      <w:ind w:right="28"/>
    </w:pPr>
    <w:rPr>
      <w:rFonts w:ascii="宋体" w:hAnsi="宋体"/>
      <w:color w:val="FF0000"/>
      <w:szCs w:val="24"/>
    </w:rPr>
  </w:style>
  <w:style w:type="paragraph" w:customStyle="1" w:styleId="62">
    <w:name w:val="题头"/>
    <w:basedOn w:val="1"/>
    <w:qFormat/>
    <w:uiPriority w:val="0"/>
    <w:pPr>
      <w:spacing w:line="400" w:lineRule="exact"/>
      <w:ind w:firstLine="200" w:firstLineChars="200"/>
    </w:pPr>
    <w:rPr>
      <w:rFonts w:cs="宋体"/>
      <w:sz w:val="24"/>
    </w:rPr>
  </w:style>
  <w:style w:type="paragraph" w:customStyle="1" w:styleId="63">
    <w:name w:val="B级标题"/>
    <w:basedOn w:val="1"/>
    <w:qFormat/>
    <w:uiPriority w:val="0"/>
    <w:pPr>
      <w:spacing w:before="156" w:after="156" w:line="0" w:lineRule="atLeast"/>
      <w:ind w:firstLine="482" w:firstLineChars="200"/>
    </w:pPr>
    <w:rPr>
      <w:rFonts w:cs="宋体"/>
      <w:b/>
      <w:bCs/>
      <w:sz w:val="24"/>
    </w:rPr>
  </w:style>
  <w:style w:type="paragraph" w:customStyle="1" w:styleId="64">
    <w:name w:val="主正文"/>
    <w:basedOn w:val="1"/>
    <w:qFormat/>
    <w:uiPriority w:val="0"/>
    <w:pPr>
      <w:ind w:firstLine="420" w:firstLineChars="200"/>
    </w:pPr>
    <w:rPr>
      <w:rFonts w:cs="宋体"/>
    </w:rPr>
  </w:style>
  <w:style w:type="paragraph" w:customStyle="1" w:styleId="65">
    <w:name w:val="主正文二"/>
    <w:basedOn w:val="1"/>
    <w:qFormat/>
    <w:uiPriority w:val="0"/>
    <w:pPr>
      <w:ind w:firstLine="727" w:firstLineChars="346"/>
    </w:pPr>
    <w:rPr>
      <w:rFonts w:cs="宋体"/>
    </w:rPr>
  </w:style>
  <w:style w:type="paragraph" w:customStyle="1" w:styleId="66">
    <w:name w:val="C级标题"/>
    <w:basedOn w:val="1"/>
    <w:qFormat/>
    <w:uiPriority w:val="0"/>
    <w:pPr>
      <w:ind w:firstLine="422" w:firstLineChars="200"/>
    </w:pPr>
    <w:rPr>
      <w:rFonts w:cs="宋体"/>
      <w:b/>
      <w:bCs/>
    </w:rPr>
  </w:style>
  <w:style w:type="paragraph" w:styleId="67">
    <w:name w:val="List Paragraph"/>
    <w:basedOn w:val="1"/>
    <w:qFormat/>
    <w:uiPriority w:val="34"/>
    <w:pPr>
      <w:ind w:firstLine="420" w:firstLineChars="200"/>
    </w:pPr>
    <w:rPr>
      <w:rFonts w:ascii="Calibri" w:hAnsi="Calibri" w:eastAsia="宋体" w:cs="Times New Roman"/>
    </w:rPr>
  </w:style>
  <w:style w:type="paragraph" w:customStyle="1" w:styleId="68">
    <w:name w:val="A级标题"/>
    <w:basedOn w:val="1"/>
    <w:qFormat/>
    <w:uiPriority w:val="0"/>
    <w:pPr>
      <w:spacing w:before="156" w:after="156"/>
      <w:jc w:val="center"/>
    </w:pPr>
    <w:rPr>
      <w:rFonts w:cs="宋体"/>
      <w:b/>
      <w:bCs/>
      <w:sz w:val="32"/>
      <w:szCs w:val="20"/>
    </w:rPr>
  </w:style>
  <w:style w:type="paragraph" w:customStyle="1" w:styleId="69">
    <w:name w:val="签名段"/>
    <w:basedOn w:val="1"/>
    <w:qFormat/>
    <w:uiPriority w:val="0"/>
    <w:pPr>
      <w:spacing w:before="156" w:after="156" w:line="0" w:lineRule="atLeast"/>
      <w:ind w:firstLine="4800" w:firstLineChars="2000"/>
    </w:pPr>
    <w:rPr>
      <w:rFonts w:cs="宋体"/>
      <w:sz w:val="24"/>
    </w:rPr>
  </w:style>
  <w:style w:type="paragraph" w:customStyle="1" w:styleId="70">
    <w:name w:val="_Style 1"/>
    <w:basedOn w:val="1"/>
    <w:qFormat/>
    <w:uiPriority w:val="34"/>
    <w:pPr>
      <w:ind w:firstLine="420" w:firstLineChars="200"/>
    </w:pPr>
    <w:rPr>
      <w:rFonts w:ascii="Calibri" w:hAnsi="Calibri" w:eastAsia="宋体" w:cs="Times New Roman"/>
    </w:rPr>
  </w:style>
  <w:style w:type="paragraph" w:customStyle="1" w:styleId="71">
    <w:name w:val="正文-认证"/>
    <w:basedOn w:val="1"/>
    <w:qFormat/>
    <w:uiPriority w:val="99"/>
    <w:pPr>
      <w:tabs>
        <w:tab w:val="left" w:pos="5103"/>
      </w:tabs>
      <w:autoSpaceDE w:val="0"/>
      <w:autoSpaceDN w:val="0"/>
      <w:ind w:firstLine="480"/>
    </w:pPr>
    <w:rPr>
      <w:rFonts w:ascii="Times New Roman" w:hAnsi="Times New Roman" w:cs="Times New Roman"/>
      <w:color w:val="000000"/>
      <w:sz w:val="24"/>
      <w:szCs w:val="24"/>
    </w:rPr>
  </w:style>
  <w:style w:type="paragraph" w:customStyle="1" w:styleId="72">
    <w:name w:val="redhead"/>
    <w:basedOn w:val="1"/>
    <w:qFormat/>
    <w:uiPriority w:val="0"/>
    <w:pPr>
      <w:widowControl/>
      <w:jc w:val="left"/>
    </w:pPr>
    <w:rPr>
      <w:rFonts w:ascii="宋体" w:hAnsi="宋体" w:eastAsia="宋体" w:cs="宋体"/>
      <w:color w:val="FF0000"/>
      <w:kern w:val="0"/>
      <w:sz w:val="54"/>
      <w:szCs w:val="54"/>
    </w:rPr>
  </w:style>
  <w:style w:type="character" w:customStyle="1" w:styleId="73">
    <w:name w:val="apple-converted-space"/>
    <w:basedOn w:val="22"/>
    <w:qFormat/>
    <w:uiPriority w:val="0"/>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75">
    <w:name w:val="qq_login_logo"/>
    <w:basedOn w:val="22"/>
    <w:qFormat/>
    <w:uiPriority w:val="0"/>
  </w:style>
  <w:style w:type="character" w:customStyle="1" w:styleId="76">
    <w:name w:val="spanleft"/>
    <w:basedOn w:val="22"/>
    <w:qFormat/>
    <w:uiPriority w:val="0"/>
  </w:style>
  <w:style w:type="character" w:customStyle="1" w:styleId="77">
    <w:name w:val="first-child"/>
    <w:basedOn w:val="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oleObject" Target="embeddings/oleObject2.bin"/><Relationship Id="rId79" Type="http://schemas.openxmlformats.org/officeDocument/2006/relationships/image" Target="media/image40.jpeg"/><Relationship Id="rId78" Type="http://schemas.openxmlformats.org/officeDocument/2006/relationships/image" Target="media/image39.png"/><Relationship Id="rId77" Type="http://schemas.openxmlformats.org/officeDocument/2006/relationships/image" Target="media/image38.emf"/><Relationship Id="rId76" Type="http://schemas.openxmlformats.org/officeDocument/2006/relationships/oleObject" Target="embeddings/oleObject34.bin"/><Relationship Id="rId75" Type="http://schemas.openxmlformats.org/officeDocument/2006/relationships/image" Target="media/image37.emf"/><Relationship Id="rId74" Type="http://schemas.openxmlformats.org/officeDocument/2006/relationships/oleObject" Target="embeddings/oleObject33.bin"/><Relationship Id="rId73" Type="http://schemas.openxmlformats.org/officeDocument/2006/relationships/image" Target="media/image36.emf"/><Relationship Id="rId72" Type="http://schemas.openxmlformats.org/officeDocument/2006/relationships/oleObject" Target="embeddings/oleObject32.bin"/><Relationship Id="rId71" Type="http://schemas.openxmlformats.org/officeDocument/2006/relationships/image" Target="media/image35.emf"/><Relationship Id="rId70" Type="http://schemas.openxmlformats.org/officeDocument/2006/relationships/oleObject" Target="embeddings/oleObject31.bin"/><Relationship Id="rId7" Type="http://schemas.openxmlformats.org/officeDocument/2006/relationships/image" Target="media/image1.emf"/><Relationship Id="rId69" Type="http://schemas.openxmlformats.org/officeDocument/2006/relationships/image" Target="media/image34.emf"/><Relationship Id="rId68" Type="http://schemas.openxmlformats.org/officeDocument/2006/relationships/oleObject" Target="embeddings/oleObject30.bin"/><Relationship Id="rId67" Type="http://schemas.openxmlformats.org/officeDocument/2006/relationships/image" Target="media/image33.emf"/><Relationship Id="rId66" Type="http://schemas.openxmlformats.org/officeDocument/2006/relationships/oleObject" Target="embeddings/oleObject29.bin"/><Relationship Id="rId65" Type="http://schemas.openxmlformats.org/officeDocument/2006/relationships/image" Target="media/image32.emf"/><Relationship Id="rId64" Type="http://schemas.openxmlformats.org/officeDocument/2006/relationships/oleObject" Target="embeddings/oleObject28.bin"/><Relationship Id="rId63" Type="http://schemas.openxmlformats.org/officeDocument/2006/relationships/image" Target="media/image31.emf"/><Relationship Id="rId62" Type="http://schemas.openxmlformats.org/officeDocument/2006/relationships/oleObject" Target="embeddings/oleObject27.bin"/><Relationship Id="rId61" Type="http://schemas.openxmlformats.org/officeDocument/2006/relationships/image" Target="media/image30.emf"/><Relationship Id="rId60" Type="http://schemas.openxmlformats.org/officeDocument/2006/relationships/oleObject" Target="embeddings/oleObject26.bin"/><Relationship Id="rId6" Type="http://schemas.openxmlformats.org/officeDocument/2006/relationships/oleObject" Target="embeddings/oleObject1.bin"/><Relationship Id="rId59" Type="http://schemas.openxmlformats.org/officeDocument/2006/relationships/image" Target="media/image29.emf"/><Relationship Id="rId58" Type="http://schemas.openxmlformats.org/officeDocument/2006/relationships/oleObject" Target="embeddings/oleObject25.bin"/><Relationship Id="rId57" Type="http://schemas.openxmlformats.org/officeDocument/2006/relationships/image" Target="media/image28.emf"/><Relationship Id="rId56" Type="http://schemas.openxmlformats.org/officeDocument/2006/relationships/oleObject" Target="embeddings/oleObject24.bin"/><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emf"/><Relationship Id="rId52" Type="http://schemas.openxmlformats.org/officeDocument/2006/relationships/oleObject" Target="embeddings/oleObject23.bin"/><Relationship Id="rId51" Type="http://schemas.openxmlformats.org/officeDocument/2006/relationships/image" Target="media/image24.e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emf"/><Relationship Id="rId46" Type="http://schemas.openxmlformats.org/officeDocument/2006/relationships/oleObject" Target="embeddings/oleObject21.bin"/><Relationship Id="rId45" Type="http://schemas.openxmlformats.org/officeDocument/2006/relationships/image" Target="media/image20.emf"/><Relationship Id="rId44" Type="http://schemas.openxmlformats.org/officeDocument/2006/relationships/oleObject" Target="embeddings/oleObject20.bin"/><Relationship Id="rId43" Type="http://schemas.openxmlformats.org/officeDocument/2006/relationships/image" Target="media/image19.emf"/><Relationship Id="rId42" Type="http://schemas.openxmlformats.org/officeDocument/2006/relationships/oleObject" Target="embeddings/oleObject19.bin"/><Relationship Id="rId41" Type="http://schemas.openxmlformats.org/officeDocument/2006/relationships/image" Target="media/image18.emf"/><Relationship Id="rId40" Type="http://schemas.openxmlformats.org/officeDocument/2006/relationships/oleObject" Target="embeddings/oleObject18.bin"/><Relationship Id="rId4" Type="http://schemas.openxmlformats.org/officeDocument/2006/relationships/footer" Target="footer1.xml"/><Relationship Id="rId39" Type="http://schemas.openxmlformats.org/officeDocument/2006/relationships/image" Target="media/image17.emf"/><Relationship Id="rId38" Type="http://schemas.openxmlformats.org/officeDocument/2006/relationships/oleObject" Target="embeddings/oleObject17.bin"/><Relationship Id="rId37" Type="http://schemas.openxmlformats.org/officeDocument/2006/relationships/image" Target="media/image16.emf"/><Relationship Id="rId36" Type="http://schemas.openxmlformats.org/officeDocument/2006/relationships/oleObject" Target="embeddings/oleObject16.bin"/><Relationship Id="rId35" Type="http://schemas.openxmlformats.org/officeDocument/2006/relationships/image" Target="media/image15.emf"/><Relationship Id="rId34" Type="http://schemas.openxmlformats.org/officeDocument/2006/relationships/oleObject" Target="embeddings/oleObject15.bin"/><Relationship Id="rId33" Type="http://schemas.openxmlformats.org/officeDocument/2006/relationships/image" Target="media/image14.emf"/><Relationship Id="rId32" Type="http://schemas.openxmlformats.org/officeDocument/2006/relationships/oleObject" Target="embeddings/oleObject14.bin"/><Relationship Id="rId31" Type="http://schemas.openxmlformats.org/officeDocument/2006/relationships/image" Target="media/image13.emf"/><Relationship Id="rId30" Type="http://schemas.openxmlformats.org/officeDocument/2006/relationships/oleObject" Target="embeddings/oleObject13.bin"/><Relationship Id="rId3" Type="http://schemas.openxmlformats.org/officeDocument/2006/relationships/header" Target="header1.xml"/><Relationship Id="rId29" Type="http://schemas.openxmlformats.org/officeDocument/2006/relationships/image" Target="media/image12.emf"/><Relationship Id="rId28" Type="http://schemas.openxmlformats.org/officeDocument/2006/relationships/oleObject" Target="embeddings/oleObject12.bin"/><Relationship Id="rId27" Type="http://schemas.openxmlformats.org/officeDocument/2006/relationships/image" Target="media/image11.emf"/><Relationship Id="rId26" Type="http://schemas.openxmlformats.org/officeDocument/2006/relationships/oleObject" Target="embeddings/oleObject11.bin"/><Relationship Id="rId25" Type="http://schemas.openxmlformats.org/officeDocument/2006/relationships/image" Target="media/image10.emf"/><Relationship Id="rId24" Type="http://schemas.openxmlformats.org/officeDocument/2006/relationships/oleObject" Target="embeddings/oleObject10.bin"/><Relationship Id="rId23" Type="http://schemas.openxmlformats.org/officeDocument/2006/relationships/image" Target="media/image9.emf"/><Relationship Id="rId22" Type="http://schemas.openxmlformats.org/officeDocument/2006/relationships/oleObject" Target="embeddings/oleObject9.bin"/><Relationship Id="rId21" Type="http://schemas.openxmlformats.org/officeDocument/2006/relationships/image" Target="media/image8.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A4547F-F2CC-4677-B3E1-FB7BC20BBD4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312</Pages>
  <Words>29510</Words>
  <Characters>168208</Characters>
  <Lines>1401</Lines>
  <Paragraphs>394</Paragraphs>
  <TotalTime>0</TotalTime>
  <ScaleCrop>false</ScaleCrop>
  <LinksUpToDate>false</LinksUpToDate>
  <CharactersWithSpaces>197324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2018-06-16T15:23:00Z</dcterms:created>
  <dc:creator>安玉帅</dc:creator>
  <cp:lastModifiedBy>yang</cp:lastModifiedBy>
  <cp:lastPrinted>2018-06-22T00:50:00Z</cp:lastPrinted>
  <dcterms:modified xsi:type="dcterms:W3CDTF">2018-06-22T08:27:24Z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vt:lpwstr>6</vt:lpwstr>
  </property>
</Properties>
</file>