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00" w:lineRule="auto"/>
        <w:jc w:val="center"/>
        <w:rPr>
          <w:rFonts w:hint="eastAsia" w:ascii="黑体-简" w:hAnsi="黑体-简" w:eastAsia="黑体-简" w:cs="黑体-简"/>
          <w:sz w:val="36"/>
        </w:rPr>
      </w:pPr>
    </w:p>
    <w:p>
      <w:pPr>
        <w:spacing w:line="500" w:lineRule="auto"/>
        <w:jc w:val="center"/>
        <w:outlineLvl w:val="0"/>
        <w:rPr>
          <w:rFonts w:hint="eastAsia" w:ascii="黑体-简" w:hAnsi="黑体-简" w:eastAsia="黑体-简" w:cs="黑体-简"/>
          <w:sz w:val="36"/>
        </w:rPr>
      </w:pPr>
      <w:r>
        <w:rPr>
          <w:rFonts w:hint="eastAsia" w:ascii="黑体-简" w:hAnsi="黑体-简" w:eastAsia="黑体-简" w:cs="黑体-简"/>
          <w:sz w:val="36"/>
        </w:rPr>
        <w:t>浙江科技学院推进新一轮学科建设的实施意见</w:t>
      </w:r>
    </w:p>
    <w:p>
      <w:pPr>
        <w:spacing w:line="500" w:lineRule="auto"/>
        <w:jc w:val="center"/>
        <w:rPr>
          <w:rFonts w:hint="eastAsia" w:ascii="黑体-简" w:hAnsi="黑体-简" w:eastAsia="黑体-简" w:cs="黑体-简"/>
          <w:sz w:val="36"/>
        </w:rPr>
      </w:pPr>
      <w:r>
        <w:rPr>
          <w:rFonts w:hint="eastAsia" w:ascii="黑体" w:hAnsi="黑体" w:eastAsia="黑体" w:cs="黑体"/>
          <w:b w:val="0"/>
          <w:bCs w:val="0"/>
          <w:sz w:val="24"/>
          <w:szCs w:val="24"/>
          <w:lang w:val="en-US" w:eastAsia="zh-CN"/>
        </w:rPr>
        <w:t>（2019-4-16征求意见稿）</w:t>
      </w:r>
      <w:bookmarkStart w:id="0" w:name="_GoBack"/>
      <w:bookmarkEnd w:id="0"/>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为贯彻落实校第四次党代会的部署与要求，发挥学科建设龙头地位，围绕立德树人根本任务，夯实学校应用型办学根基，深入实施学科专业一体化工程，强化国际化办学特色，全面提升学校整体办学水平，为高水平建设社会主义的浙江科技大学奠定坚实基础，就加强学科专业一体化，推进新一轮学科建设，制定如下意见。</w:t>
      </w:r>
    </w:p>
    <w:p>
      <w:pPr>
        <w:spacing w:line="540" w:lineRule="exact"/>
        <w:ind w:firstLine="640" w:firstLineChars="200"/>
        <w:rPr>
          <w:rFonts w:ascii="仿宋" w:hAnsi="仿宋" w:eastAsia="仿宋" w:cs="仿宋"/>
          <w:sz w:val="32"/>
          <w:szCs w:val="32"/>
        </w:rPr>
      </w:pPr>
    </w:p>
    <w:p>
      <w:pPr>
        <w:numPr>
          <w:ilvl w:val="0"/>
          <w:numId w:val="1"/>
        </w:num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总体要求</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指导思想。</w:t>
      </w:r>
      <w:r>
        <w:rPr>
          <w:rFonts w:ascii="仿宋" w:hAnsi="仿宋" w:eastAsia="仿宋" w:cs="仿宋"/>
          <w:sz w:val="32"/>
          <w:szCs w:val="32"/>
        </w:rPr>
        <w:t>高举习近平新时代中国特色社会主义思想伟大旗帜，深入贯彻党的十九大精神，全国教育大会的总体部署和浙江省全面实施高教强省战略设计，全面落实立德树人根本任务，以提升学科专业支撑服务浙江产业经济为突破口，推进产教融合，</w:t>
      </w:r>
      <w:r>
        <w:rPr>
          <w:rFonts w:hint="eastAsia" w:ascii="仿宋" w:hAnsi="仿宋" w:eastAsia="仿宋" w:cs="仿宋"/>
          <w:sz w:val="32"/>
          <w:szCs w:val="32"/>
        </w:rPr>
        <w:t>开展</w:t>
      </w:r>
      <w:r>
        <w:rPr>
          <w:rFonts w:ascii="仿宋" w:hAnsi="仿宋" w:eastAsia="仿宋" w:cs="仿宋"/>
          <w:sz w:val="32"/>
          <w:szCs w:val="32"/>
        </w:rPr>
        <w:t>应用型学科专业一体化建设，</w:t>
      </w:r>
      <w:r>
        <w:rPr>
          <w:rFonts w:hint="eastAsia" w:ascii="仿宋" w:hAnsi="仿宋" w:eastAsia="仿宋" w:cs="仿宋"/>
          <w:sz w:val="32"/>
          <w:szCs w:val="32"/>
        </w:rPr>
        <w:t>促进</w:t>
      </w:r>
      <w:r>
        <w:rPr>
          <w:rFonts w:ascii="仿宋" w:hAnsi="仿宋" w:eastAsia="仿宋" w:cs="仿宋"/>
          <w:sz w:val="32"/>
          <w:szCs w:val="32"/>
        </w:rPr>
        <w:t>传统学科专业</w:t>
      </w:r>
      <w:r>
        <w:rPr>
          <w:rFonts w:hint="eastAsia" w:ascii="仿宋" w:hAnsi="仿宋" w:eastAsia="仿宋" w:cs="仿宋"/>
          <w:sz w:val="32"/>
          <w:szCs w:val="32"/>
        </w:rPr>
        <w:t>的转型升级</w:t>
      </w:r>
      <w:r>
        <w:rPr>
          <w:rFonts w:ascii="仿宋" w:hAnsi="仿宋" w:eastAsia="仿宋" w:cs="仿宋"/>
          <w:sz w:val="32"/>
          <w:szCs w:val="32"/>
        </w:rPr>
        <w:t>，积极拓展优势特色新兴学科专业，深化体制改革，创新管理机制，</w:t>
      </w:r>
      <w:r>
        <w:rPr>
          <w:rFonts w:hint="eastAsia" w:ascii="仿宋" w:hAnsi="仿宋" w:eastAsia="仿宋" w:cs="仿宋"/>
          <w:sz w:val="32"/>
          <w:szCs w:val="32"/>
        </w:rPr>
        <w:t>完善运行机制</w:t>
      </w:r>
      <w:r>
        <w:rPr>
          <w:rFonts w:hint="default" w:ascii="仿宋" w:hAnsi="仿宋" w:eastAsia="仿宋" w:cs="仿宋"/>
          <w:sz w:val="32"/>
          <w:szCs w:val="32"/>
        </w:rPr>
        <w:t>，</w:t>
      </w:r>
      <w:r>
        <w:rPr>
          <w:rFonts w:ascii="仿宋" w:hAnsi="仿宋" w:eastAsia="仿宋" w:cs="仿宋"/>
          <w:sz w:val="32"/>
          <w:szCs w:val="32"/>
        </w:rPr>
        <w:t>优化资源配置，激发内在活力</w:t>
      </w:r>
      <w:r>
        <w:rPr>
          <w:rFonts w:hint="eastAsia" w:ascii="仿宋" w:hAnsi="仿宋" w:eastAsia="仿宋" w:cs="仿宋"/>
          <w:sz w:val="32"/>
          <w:szCs w:val="32"/>
        </w:rPr>
        <w:t>，打造一流应用型师资队伍，建立一流应用型人才培养体系，建设一流应用型学科与专业平台，产出一流应用型科研成果。</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基本原则</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——坚持深化改革。深入推进学术组织、人事制度、资源配置、管理体制、评价体系等关键领域综合改革，落实学科专业建设主体责任，激发和释放二级学院的创新活力。</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——坚持开放办学。积极引进与对接高端学术资源、产业行业资源和国际合作资源，增强外部资源获得能力、服务地方经济建设能力，从而从根本上提升学校的核心竞争力与可持续发展能力。</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坚持竞争择优。强化目标管理和过程管理相结合，注重资源利用效率，突出建设绩效，构建完善的学科专业评价体系，建立重点建设学科专业动态调整机制和资源配置机制，开放竞争、择优支持，克服身份固化、竞争缺失和重复建设。</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——坚持试点先行。按照择优扶重、试点先行，重点突出的原则，做好学科专业布局顶层设计。</w:t>
      </w:r>
      <w:r>
        <w:rPr>
          <w:rFonts w:ascii="仿宋" w:hAnsi="仿宋" w:eastAsia="仿宋" w:cs="仿宋"/>
          <w:sz w:val="32"/>
          <w:szCs w:val="32"/>
        </w:rPr>
        <w:t>集中资源优先建设有</w:t>
      </w:r>
      <w:r>
        <w:rPr>
          <w:rFonts w:hint="eastAsia" w:ascii="仿宋" w:hAnsi="仿宋" w:eastAsia="仿宋" w:cs="仿宋"/>
          <w:sz w:val="32"/>
          <w:szCs w:val="32"/>
        </w:rPr>
        <w:t>需求</w:t>
      </w:r>
      <w:r>
        <w:rPr>
          <w:rFonts w:ascii="仿宋" w:hAnsi="仿宋" w:eastAsia="仿宋" w:cs="仿宋"/>
          <w:sz w:val="32"/>
          <w:szCs w:val="32"/>
        </w:rPr>
        <w:t>、有特色、有潜力的学科</w:t>
      </w:r>
      <w:r>
        <w:rPr>
          <w:rFonts w:hint="eastAsia" w:ascii="仿宋" w:hAnsi="仿宋" w:eastAsia="仿宋" w:cs="仿宋"/>
          <w:sz w:val="32"/>
          <w:szCs w:val="32"/>
        </w:rPr>
        <w:t>专业，</w:t>
      </w:r>
      <w:r>
        <w:rPr>
          <w:rFonts w:ascii="仿宋" w:hAnsi="仿宋" w:eastAsia="仿宋" w:cs="仿宋"/>
          <w:sz w:val="32"/>
          <w:szCs w:val="32"/>
        </w:rPr>
        <w:t>推动其快速发展，以点带面，带动其他学科</w:t>
      </w:r>
      <w:r>
        <w:rPr>
          <w:rFonts w:hint="eastAsia" w:ascii="仿宋" w:hAnsi="仿宋" w:eastAsia="仿宋" w:cs="仿宋"/>
          <w:sz w:val="32"/>
          <w:szCs w:val="32"/>
        </w:rPr>
        <w:t>专业</w:t>
      </w:r>
      <w:r>
        <w:rPr>
          <w:rFonts w:ascii="仿宋" w:hAnsi="仿宋" w:eastAsia="仿宋" w:cs="仿宋"/>
          <w:sz w:val="32"/>
          <w:szCs w:val="32"/>
        </w:rPr>
        <w:t>建设和水平的提升，形成布局合理、协调发展的积极态势。</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主要目标</w:t>
      </w:r>
    </w:p>
    <w:p>
      <w:pPr>
        <w:spacing w:line="540" w:lineRule="exact"/>
        <w:ind w:firstLine="640" w:firstLineChars="200"/>
        <w:rPr>
          <w:rFonts w:hint="default" w:ascii="仿宋" w:hAnsi="仿宋" w:eastAsia="仿宋" w:cs="仿宋"/>
          <w:sz w:val="32"/>
          <w:szCs w:val="32"/>
        </w:rPr>
      </w:pPr>
      <w:r>
        <w:rPr>
          <w:rFonts w:hint="default" w:ascii="仿宋" w:hAnsi="仿宋" w:eastAsia="仿宋" w:cs="仿宋"/>
          <w:sz w:val="32"/>
          <w:szCs w:val="32"/>
        </w:rPr>
        <w:t>——优化学科结构。进一步调整学科规模、优化学科布局、培育新兴交叉学科。围绕地方经济发展需求，对传统学科专业的转型升级，大力促进学科交叉，通过学科交叉实现工学、人文学科、社会学科、理学四大学科领域均衡协调发展，特色学科、新型交叉学科快速崛起。以质量目标为导向，将学科规模缩减至22个左右，在建学科的80%建成硕士点，提高优质学科比例。</w:t>
      </w:r>
    </w:p>
    <w:p>
      <w:pPr>
        <w:spacing w:line="540" w:lineRule="exact"/>
        <w:ind w:firstLine="640" w:firstLineChars="200"/>
        <w:rPr>
          <w:rFonts w:hint="default" w:ascii="仿宋" w:hAnsi="仿宋" w:eastAsia="仿宋" w:cs="仿宋"/>
          <w:sz w:val="32"/>
          <w:szCs w:val="32"/>
        </w:rPr>
      </w:pPr>
      <w:r>
        <w:rPr>
          <w:rFonts w:hint="default" w:ascii="仿宋" w:hAnsi="仿宋" w:eastAsia="仿宋" w:cs="仿宋"/>
          <w:sz w:val="32"/>
          <w:szCs w:val="32"/>
        </w:rPr>
        <w:t>——提升学科水平。在优化学科布局的基础上，重点支持一批优势学科和领先学科方向，持续支持一批国家需要、地方急需的应用学科和特色学科，以交叉集成促进学科整体上水平，对未来优势学科进行战略性布局。打造1-2个高峰学科进入全国相同学科排名前50%，2-3个应用型学科进入全国同类高校前列。</w:t>
      </w:r>
    </w:p>
    <w:p>
      <w:pPr>
        <w:spacing w:line="540" w:lineRule="exact"/>
        <w:ind w:firstLine="640" w:firstLineChars="200"/>
        <w:rPr>
          <w:rFonts w:hint="eastAsia" w:ascii="仿宋" w:hAnsi="仿宋" w:eastAsia="仿宋" w:cs="仿宋"/>
          <w:sz w:val="32"/>
          <w:szCs w:val="32"/>
        </w:rPr>
      </w:pPr>
      <w:r>
        <w:rPr>
          <w:rFonts w:hint="default" w:ascii="仿宋" w:hAnsi="仿宋" w:eastAsia="仿宋" w:cs="仿宋"/>
          <w:sz w:val="32"/>
          <w:szCs w:val="32"/>
        </w:rPr>
        <w:t>——增强服务能力。根据学校现有学科优势和特点，以及地方经济发展需求，重点围绕智能制造、数字经济、生态环境、生命健康、文旅与时尚创意等领域推进学科融合交叉，建成5个左右与行业企业进行实质合作的、具有区域影响力的交叉学科平台和行业研究院，使交叉平台和行业研究院能覆盖全校60%的在建学科。</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——优化学科专业结构。</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——建设一流应用型师资队伍。</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——支撑地方经济发展能力有效提升。</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学</w:t>
      </w:r>
      <w:r>
        <w:rPr>
          <w:rFonts w:ascii="仿宋" w:hAnsi="仿宋" w:eastAsia="仿宋" w:cs="仿宋"/>
          <w:color w:val="000000"/>
          <w:sz w:val="32"/>
          <w:szCs w:val="32"/>
        </w:rPr>
        <w:t>位点建设</w:t>
      </w:r>
      <w:r>
        <w:rPr>
          <w:rFonts w:hint="eastAsia" w:ascii="仿宋" w:hAnsi="仿宋" w:eastAsia="仿宋" w:cs="仿宋"/>
          <w:color w:val="000000"/>
          <w:sz w:val="32"/>
          <w:szCs w:val="32"/>
        </w:rPr>
        <w:t>新突</w:t>
      </w:r>
      <w:r>
        <w:rPr>
          <w:rFonts w:hint="eastAsia" w:ascii="仿宋" w:hAnsi="仿宋" w:eastAsia="仿宋" w:cs="仿宋"/>
          <w:sz w:val="32"/>
          <w:szCs w:val="32"/>
        </w:rPr>
        <w:t>破。</w:t>
      </w:r>
    </w:p>
    <w:p>
      <w:pPr>
        <w:spacing w:line="540" w:lineRule="exact"/>
        <w:rPr>
          <w:rFonts w:ascii="仿宋" w:hAnsi="仿宋" w:eastAsia="仿宋" w:cs="仿宋"/>
          <w:sz w:val="32"/>
          <w:szCs w:val="32"/>
        </w:rPr>
      </w:pPr>
    </w:p>
    <w:p>
      <w:pPr>
        <w:numPr>
          <w:ilvl w:val="0"/>
          <w:numId w:val="1"/>
        </w:num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优化学科专业结构，建立学科专业一体化体系</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面向数字经济</w:t>
      </w:r>
      <w:r>
        <w:rPr>
          <w:rFonts w:hint="default" w:ascii="仿宋" w:hAnsi="仿宋" w:eastAsia="仿宋" w:cs="仿宋"/>
          <w:sz w:val="32"/>
          <w:szCs w:val="32"/>
        </w:rPr>
        <w:t>、</w:t>
      </w:r>
      <w:r>
        <w:rPr>
          <w:rFonts w:hint="eastAsia" w:ascii="仿宋" w:hAnsi="仿宋" w:eastAsia="仿宋" w:cs="仿宋"/>
          <w:sz w:val="32"/>
          <w:szCs w:val="32"/>
        </w:rPr>
        <w:t>生命健康</w:t>
      </w:r>
      <w:r>
        <w:rPr>
          <w:rFonts w:hint="default" w:ascii="仿宋" w:hAnsi="仿宋" w:eastAsia="仿宋" w:cs="仿宋"/>
          <w:sz w:val="32"/>
          <w:szCs w:val="32"/>
        </w:rPr>
        <w:t>、</w:t>
      </w:r>
      <w:r>
        <w:rPr>
          <w:rFonts w:hint="eastAsia" w:ascii="仿宋" w:hAnsi="仿宋" w:eastAsia="仿宋" w:cs="仿宋"/>
          <w:sz w:val="32"/>
          <w:szCs w:val="32"/>
        </w:rPr>
        <w:t>新材料、新能源与节能、高端装备制造、生态环境保护与修复、文旅与时尚创意等浙江省重点产业领域开展相关学科的建设工作。建立以工学、人文学科、社会学科为主，以理学为支撑的学科体系。扶需、扶优、扶特，继续重点支持化学工程与技术、土木工程、机械工程等学科的建设，作为重点突破学科，</w:t>
      </w:r>
      <w:r>
        <w:rPr>
          <w:rFonts w:ascii="仿宋" w:hAnsi="仿宋" w:eastAsia="仿宋" w:cs="仿宋"/>
          <w:sz w:val="32"/>
          <w:szCs w:val="32"/>
        </w:rPr>
        <w:t>到2023年，</w:t>
      </w:r>
      <w:r>
        <w:rPr>
          <w:rFonts w:hint="eastAsia" w:ascii="仿宋" w:hAnsi="仿宋" w:eastAsia="仿宋" w:cs="仿宋"/>
          <w:sz w:val="32"/>
          <w:szCs w:val="32"/>
        </w:rPr>
        <w:t>打造1-2个高峰学科进入全国相同学科排名前</w:t>
      </w:r>
      <w:r>
        <w:rPr>
          <w:rFonts w:ascii="仿宋" w:hAnsi="仿宋" w:eastAsia="仿宋" w:cs="仿宋"/>
          <w:sz w:val="32"/>
          <w:szCs w:val="32"/>
        </w:rPr>
        <w:t>5</w:t>
      </w:r>
      <w:r>
        <w:rPr>
          <w:rFonts w:hint="eastAsia" w:ascii="仿宋" w:hAnsi="仿宋" w:eastAsia="仿宋" w:cs="仿宋"/>
          <w:sz w:val="32"/>
          <w:szCs w:val="32"/>
        </w:rPr>
        <w:t>0%，</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个应用型学科进入全国同类高校前列。重点支持信息类学科（计算机科学与技术、控制科学与工程等学科）快速发展，促进与其它工学门类学科、人文门类学科、社会门类学科的交叉，推动传统学科的转型升级；整合相关学科资源，着力建立和发展生命健康产业相关学科（生物医学工程学科）。</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构建学科专业一体化建设模式，在优</w:t>
      </w:r>
      <w:r>
        <w:rPr>
          <w:rFonts w:ascii="仿宋" w:hAnsi="仿宋" w:eastAsia="仿宋" w:cs="仿宋"/>
          <w:sz w:val="32"/>
          <w:szCs w:val="32"/>
        </w:rPr>
        <w:t>势学科下打造一批地方和行业急需、优势突出、特色鲜明的应用型专业群</w:t>
      </w:r>
      <w:r>
        <w:rPr>
          <w:rFonts w:hint="eastAsia" w:ascii="仿宋" w:hAnsi="仿宋" w:eastAsia="仿宋" w:cs="仿宋"/>
          <w:sz w:val="32"/>
          <w:szCs w:val="32"/>
        </w:rPr>
        <w:t>，使学科建设与专业建设有机结合，将</w:t>
      </w:r>
      <w:r>
        <w:rPr>
          <w:rFonts w:ascii="仿宋" w:hAnsi="仿宋" w:eastAsia="仿宋" w:cs="仿宋"/>
          <w:sz w:val="32"/>
          <w:szCs w:val="32"/>
        </w:rPr>
        <w:t>学科建设的成果能够及时转化为专业建设的资源</w:t>
      </w:r>
      <w:r>
        <w:rPr>
          <w:rFonts w:hint="eastAsia" w:ascii="仿宋" w:hAnsi="仿宋" w:eastAsia="仿宋" w:cs="仿宋"/>
          <w:sz w:val="32"/>
          <w:szCs w:val="32"/>
        </w:rPr>
        <w:t>，并</w:t>
      </w:r>
      <w:r>
        <w:rPr>
          <w:rFonts w:ascii="仿宋" w:hAnsi="仿宋" w:eastAsia="仿宋" w:cs="仿宋"/>
          <w:sz w:val="32"/>
          <w:szCs w:val="32"/>
        </w:rPr>
        <w:t>建立</w:t>
      </w:r>
      <w:r>
        <w:rPr>
          <w:rFonts w:hint="eastAsia" w:ascii="仿宋" w:hAnsi="仿宋" w:eastAsia="仿宋" w:cs="仿宋"/>
          <w:sz w:val="32"/>
          <w:szCs w:val="32"/>
        </w:rPr>
        <w:t>起</w:t>
      </w:r>
      <w:r>
        <w:rPr>
          <w:rFonts w:ascii="仿宋" w:hAnsi="仿宋" w:eastAsia="仿宋" w:cs="仿宋"/>
          <w:sz w:val="32"/>
          <w:szCs w:val="32"/>
        </w:rPr>
        <w:t>紧密对接产业链的应用型专业体系，重点建设生物医药</w:t>
      </w:r>
      <w:r>
        <w:rPr>
          <w:rFonts w:hint="eastAsia" w:ascii="仿宋" w:hAnsi="仿宋" w:eastAsia="仿宋" w:cs="仿宋"/>
          <w:sz w:val="32"/>
          <w:szCs w:val="32"/>
          <w:lang w:val="en-US" w:eastAsia="zh-CN"/>
        </w:rPr>
        <w:t>、工艺美术、装备制造、电子信息、电子商务、绿色技术等</w:t>
      </w:r>
      <w:r>
        <w:rPr>
          <w:rFonts w:hint="default" w:ascii="仿宋" w:hAnsi="仿宋" w:eastAsia="仿宋" w:cs="仿宋"/>
          <w:sz w:val="32"/>
          <w:szCs w:val="32"/>
          <w:lang w:val="en-US" w:eastAsia="zh-CN"/>
        </w:rPr>
        <w:t>6</w:t>
      </w:r>
      <w:r>
        <w:rPr>
          <w:rFonts w:hint="eastAsia" w:ascii="仿宋" w:hAnsi="仿宋" w:eastAsia="仿宋" w:cs="仿宋"/>
          <w:sz w:val="32"/>
          <w:szCs w:val="32"/>
          <w:lang w:val="en-US" w:eastAsia="zh-CN"/>
        </w:rPr>
        <w:t>个应用技术特色鲜明的专业群。在建设过程中，通过专业群的示范引领作用，共享优质的教学资源，建立应用型专业群教学质量标准，健全专业教学质量保障体系</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带动其它专业的升级与发展，促进学校专业建设的整体推进。</w:t>
      </w:r>
    </w:p>
    <w:p>
      <w:pPr>
        <w:pStyle w:val="15"/>
        <w:numPr>
          <w:ilvl w:val="0"/>
          <w:numId w:val="0"/>
        </w:numPr>
        <w:spacing w:line="540" w:lineRule="exact"/>
        <w:ind w:leftChars="200"/>
        <w:rPr>
          <w:rFonts w:ascii="仿宋" w:hAnsi="仿宋" w:eastAsia="仿宋" w:cs="仿宋"/>
          <w:sz w:val="32"/>
          <w:szCs w:val="32"/>
        </w:rPr>
      </w:pPr>
    </w:p>
    <w:p>
      <w:pPr>
        <w:numPr>
          <w:ilvl w:val="0"/>
          <w:numId w:val="1"/>
        </w:numPr>
        <w:spacing w:line="54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加强资源整合，</w:t>
      </w:r>
      <w:r>
        <w:rPr>
          <w:rFonts w:hint="default" w:ascii="黑体" w:hAnsi="黑体" w:eastAsia="黑体" w:cs="黑体"/>
          <w:sz w:val="32"/>
          <w:szCs w:val="32"/>
        </w:rPr>
        <w:t>推进多院一体开放强校主战略</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kern w:val="2"/>
          <w:sz w:val="32"/>
          <w:szCs w:val="32"/>
          <w:lang w:val="en-US" w:eastAsia="zh-CN" w:bidi="ar-SA"/>
        </w:rPr>
        <w:t>以产业行业研究院作为一流应用型学科建设的载体，以产业学院作为一流应用型专业建设的平台，围绕浙江经济和产业发展布局，推进我校学科和专业建设和发展的转型升级，建设和发展新兴学科和专业，通过建立产教融合发展机制，引领和服务浙江相关产业的发展。以国际化特色学院建设为抓手，引进国外化质教育资源，实现学院应用型办学跨越式发展。</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按照学校学科专业发展布局，设立专项建设资金并带动二级学院自主经费投入，重点支持相关二级学院建设产业行业研究院。产业行业研究院是应用型学科建设的主要平台，应关注学科交叉与协同创新，融入区</w:t>
      </w:r>
      <w:r>
        <w:rPr>
          <w:rFonts w:ascii="仿宋" w:hAnsi="仿宋" w:eastAsia="仿宋" w:cs="仿宋"/>
          <w:sz w:val="32"/>
          <w:szCs w:val="32"/>
        </w:rPr>
        <w:t>域、产业、行业的创新体系</w:t>
      </w:r>
      <w:r>
        <w:rPr>
          <w:rFonts w:hint="eastAsia" w:ascii="仿宋" w:hAnsi="仿宋" w:eastAsia="仿宋" w:cs="仿宋"/>
          <w:sz w:val="32"/>
          <w:szCs w:val="32"/>
        </w:rPr>
        <w:t>，使之成为学校科学研究、技术开发、人才培养、对接校外高端学术资源和产业行业资源、成果展示的重要平台。创新体制与机制，通过试点先行，探索</w:t>
      </w:r>
      <w:r>
        <w:rPr>
          <w:rFonts w:hint="default" w:ascii="仿宋" w:hAnsi="仿宋" w:eastAsia="仿宋" w:cs="仿宋"/>
          <w:sz w:val="32"/>
          <w:szCs w:val="32"/>
        </w:rPr>
        <w:t>校级、院级和地方</w:t>
      </w:r>
      <w:r>
        <w:rPr>
          <w:rFonts w:hint="eastAsia" w:ascii="仿宋" w:hAnsi="仿宋" w:eastAsia="仿宋" w:cs="仿宋"/>
          <w:sz w:val="32"/>
          <w:szCs w:val="32"/>
        </w:rPr>
        <w:t>产业行业研究院的运行与管理模式。</w:t>
      </w:r>
      <w:r>
        <w:rPr>
          <w:rFonts w:hint="default" w:ascii="仿宋" w:hAnsi="仿宋" w:eastAsia="仿宋" w:cs="仿宋"/>
          <w:sz w:val="32"/>
          <w:szCs w:val="32"/>
        </w:rPr>
        <w:t>建立研究院和研究所两级架构</w:t>
      </w:r>
      <w:r>
        <w:rPr>
          <w:rFonts w:hint="eastAsia" w:ascii="仿宋" w:hAnsi="仿宋" w:eastAsia="仿宋" w:cs="仿宋"/>
          <w:sz w:val="32"/>
          <w:szCs w:val="32"/>
        </w:rPr>
        <w:t>，推动基层学术组织的从面向专业建设到面向学科建设的重构。支持生态环境研究院、农业生物资源生化制造协同创新中心、政务新媒体研究院按校级产业行业研究院的模式继续开展建设。重点支持新建信息技术研究院、智能制造研究院、生命健康研究院等产业行业研究院。</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依托产业行业学院建立产教融合人才培养体系，开展一流应用型人才教育教学改革，</w:t>
      </w:r>
      <w:r>
        <w:rPr>
          <w:rFonts w:ascii="Courier New" w:hAnsi="Courier New" w:eastAsia="仿宋" w:cs="Courier New"/>
          <w:sz w:val="32"/>
          <w:szCs w:val="32"/>
        </w:rPr>
        <w:t>﻿</w:t>
      </w:r>
      <w:r>
        <w:rPr>
          <w:rFonts w:ascii="仿宋" w:hAnsi="仿宋" w:eastAsia="仿宋" w:cs="仿宋"/>
          <w:sz w:val="32"/>
          <w:szCs w:val="32"/>
        </w:rPr>
        <w:t>全面推进国家“十三五”教育现代化推进工程--产教融合发展工程项目实施，完成教育部-曙光大数据应用创新基地、百度人工智能应用创新基地的建</w:t>
      </w:r>
      <w:r>
        <w:rPr>
          <w:rFonts w:hint="eastAsia" w:ascii="仿宋" w:hAnsi="仿宋" w:eastAsia="仿宋" w:cs="仿宋"/>
          <w:sz w:val="32"/>
          <w:szCs w:val="32"/>
        </w:rPr>
        <w:t>设，推进曙光大数据学院、中科创大等产业</w:t>
      </w:r>
      <w:r>
        <w:rPr>
          <w:rFonts w:ascii="仿宋" w:hAnsi="仿宋" w:eastAsia="仿宋" w:cs="仿宋"/>
          <w:sz w:val="32"/>
          <w:szCs w:val="32"/>
        </w:rPr>
        <w:t>学院</w:t>
      </w:r>
      <w:r>
        <w:rPr>
          <w:rFonts w:hint="eastAsia" w:ascii="仿宋" w:hAnsi="仿宋" w:eastAsia="仿宋" w:cs="仿宋"/>
          <w:sz w:val="32"/>
          <w:szCs w:val="32"/>
        </w:rPr>
        <w:t>的建设，</w:t>
      </w:r>
      <w:r>
        <w:rPr>
          <w:rFonts w:ascii="仿宋" w:hAnsi="仿宋" w:eastAsia="仿宋" w:cs="仿宋"/>
          <w:sz w:val="32"/>
          <w:szCs w:val="32"/>
        </w:rPr>
        <w:t>紧密对接产业学院所服务行业企业的产业链，统筹管理服务同一产业链的若干关联专业，加强专业群的校企共建共管</w:t>
      </w:r>
      <w:r>
        <w:rPr>
          <w:rFonts w:hint="eastAsia" w:ascii="仿宋" w:hAnsi="仿宋" w:eastAsia="仿宋" w:cs="仿宋"/>
          <w:sz w:val="32"/>
          <w:szCs w:val="32"/>
        </w:rPr>
        <w:t>。</w:t>
      </w:r>
    </w:p>
    <w:p>
      <w:pPr>
        <w:pStyle w:val="15"/>
        <w:numPr>
          <w:ilvl w:val="0"/>
          <w:numId w:val="2"/>
        </w:numPr>
        <w:spacing w:line="540" w:lineRule="exact"/>
        <w:ind w:left="0" w:firstLine="640"/>
        <w:rPr>
          <w:rFonts w:ascii="仿宋" w:hAnsi="仿宋" w:eastAsia="仿宋" w:cs="仿宋"/>
          <w:sz w:val="32"/>
          <w:szCs w:val="32"/>
          <w:lang w:val="de-DE"/>
        </w:rPr>
      </w:pPr>
      <w:r>
        <w:rPr>
          <w:rFonts w:hint="eastAsia" w:ascii="仿宋" w:hAnsi="仿宋" w:eastAsia="仿宋" w:cs="仿宋"/>
          <w:sz w:val="32"/>
          <w:szCs w:val="32"/>
        </w:rPr>
        <w:t>加强对外开放，开展国际合作，鼓励二级学院与国外大学开展合作办学建设国际化特色学院。积极筹建双元多方混合所有制的中外合作办学机构，以中德工程师学院为基础，探索与德国高校和德资龙头企业开展合作办学，重点考虑在智能制造、节能环保新能源和新材料等专业领域设置双元制本科专业，提升高层次应用型人才培养质量。以现有中法土木工程专业和中法大数据专业为基础，联合国内高校一流教育资源，开拓境外办学项目，多方联合申报中法工程师学院，探索建立本科—硕士—博士一体化培养模式。</w:t>
      </w:r>
      <w:r>
        <w:rPr>
          <w:rFonts w:ascii="仿宋" w:hAnsi="仿宋" w:eastAsia="仿宋" w:cs="仿宋"/>
          <w:sz w:val="32"/>
          <w:szCs w:val="32"/>
        </w:rPr>
        <w:t>在深化现有科研合作的基础上，进一步提高国际合作项目的数量和水平，打造理念相通、要素联通、链条融通、人员畅通的创新共同体</w:t>
      </w:r>
      <w:r>
        <w:rPr>
          <w:rFonts w:hint="eastAsia" w:ascii="仿宋" w:hAnsi="仿宋" w:eastAsia="仿宋" w:cs="仿宋"/>
          <w:sz w:val="32"/>
          <w:szCs w:val="32"/>
        </w:rPr>
        <w:t>，</w:t>
      </w:r>
      <w:r>
        <w:rPr>
          <w:rFonts w:ascii="仿宋" w:hAnsi="仿宋" w:eastAsia="仿宋" w:cs="仿宋"/>
          <w:sz w:val="32"/>
          <w:szCs w:val="32"/>
        </w:rPr>
        <w:t>加强与国际高水平大学现有教学科研平台的深层次合作，培育具有产出重大成果能力的国际合作联合实验室</w:t>
      </w:r>
      <w:r>
        <w:rPr>
          <w:rFonts w:hint="eastAsia" w:ascii="仿宋" w:hAnsi="仿宋" w:eastAsia="仿宋" w:cs="仿宋"/>
          <w:sz w:val="32"/>
          <w:szCs w:val="32"/>
        </w:rPr>
        <w:t>和基地。</w:t>
      </w:r>
    </w:p>
    <w:p>
      <w:pPr>
        <w:pStyle w:val="15"/>
        <w:numPr>
          <w:ilvl w:val="0"/>
          <w:numId w:val="0"/>
        </w:numPr>
        <w:spacing w:line="540" w:lineRule="exact"/>
        <w:ind w:leftChars="200"/>
        <w:rPr>
          <w:rFonts w:ascii="仿宋" w:hAnsi="仿宋" w:eastAsia="仿宋" w:cs="仿宋"/>
          <w:sz w:val="32"/>
          <w:szCs w:val="32"/>
          <w:lang w:val="de-DE"/>
        </w:rPr>
      </w:pPr>
    </w:p>
    <w:p>
      <w:pPr>
        <w:numPr>
          <w:ilvl w:val="0"/>
          <w:numId w:val="1"/>
        </w:numPr>
        <w:spacing w:line="540" w:lineRule="exact"/>
        <w:ind w:firstLine="640" w:firstLineChars="200"/>
        <w:outlineLvl w:val="0"/>
        <w:rPr>
          <w:rFonts w:ascii="黑体" w:hAnsi="黑体" w:eastAsia="黑体" w:cs="黑体"/>
          <w:sz w:val="32"/>
          <w:szCs w:val="32"/>
        </w:rPr>
      </w:pPr>
      <w:r>
        <w:rPr>
          <w:rFonts w:ascii="黑体" w:hAnsi="黑体" w:eastAsia="黑体" w:cs="黑体"/>
          <w:sz w:val="32"/>
          <w:szCs w:val="32"/>
        </w:rPr>
        <w:t>深化人事分配制度改革</w:t>
      </w:r>
      <w:r>
        <w:rPr>
          <w:rFonts w:hint="eastAsia" w:ascii="黑体" w:hAnsi="黑体" w:eastAsia="黑体" w:cs="黑体"/>
          <w:sz w:val="32"/>
          <w:szCs w:val="32"/>
        </w:rPr>
        <w:t>，构建可持续发展的学科团队</w:t>
      </w:r>
    </w:p>
    <w:p>
      <w:pPr>
        <w:pStyle w:val="15"/>
        <w:numPr>
          <w:ilvl w:val="0"/>
          <w:numId w:val="2"/>
        </w:numPr>
        <w:spacing w:line="540" w:lineRule="exact"/>
        <w:ind w:left="0" w:firstLine="640"/>
        <w:rPr>
          <w:rFonts w:ascii="仿宋" w:hAnsi="仿宋" w:eastAsia="仿宋" w:cs="仿宋"/>
          <w:sz w:val="32"/>
          <w:szCs w:val="32"/>
        </w:rPr>
      </w:pPr>
      <w:r>
        <w:rPr>
          <w:rFonts w:ascii="仿宋" w:hAnsi="仿宋" w:eastAsia="仿宋" w:cs="仿宋"/>
          <w:sz w:val="32"/>
          <w:szCs w:val="32"/>
        </w:rPr>
        <w:t>建设一流应用型师资队伍。充分利用我省建设创新强省、人才强省的各种人才优惠政策，紧紧围绕一流应用型学科专业一体化建设要求，落实学校人才发展“三三”战略行动计划，加大海内外高层次创新人才及团队的引进和培养力度，到2023年新引进博士300人，建立3-5个与浙江省战略新兴产业紧密衔接、在国内外有影响力的重点学术团队，建立3-5个高水平的重点教学团队，新增国家级人才1-2人。改革绩效分配导向，由重“量”向重“质”转变，激励优秀中青年教师潜心学术研究和教学工作，产出更多标志性、高水平有显示度的教学科研成果。</w:t>
      </w:r>
    </w:p>
    <w:p>
      <w:pPr>
        <w:pStyle w:val="15"/>
        <w:numPr>
          <w:ilvl w:val="0"/>
          <w:numId w:val="2"/>
        </w:numPr>
        <w:spacing w:line="540" w:lineRule="exact"/>
        <w:ind w:left="0" w:firstLine="640"/>
        <w:rPr>
          <w:rFonts w:ascii="仿宋" w:hAnsi="仿宋" w:eastAsia="仿宋" w:cs="仿宋"/>
          <w:sz w:val="32"/>
          <w:szCs w:val="32"/>
        </w:rPr>
      </w:pPr>
      <w:r>
        <w:rPr>
          <w:rFonts w:ascii="仿宋" w:hAnsi="仿宋" w:eastAsia="仿宋" w:cs="仿宋"/>
          <w:sz w:val="32"/>
          <w:szCs w:val="32"/>
        </w:rPr>
        <w:t>深化人事分配制度改革，发挥岗位聘任和职称评聘的杠杆作用。将师德师风作为评价教师队伍素质的第一标准，坚持德才兼备，注重能力、实绩和贡献。立足学校发展实际，国聘与校聘两聘联动，各有侧重，实行分类管理、分类聘任、分类评价。建立以知识价值和绩效为导向的分配机制，完善三元薪酬体系，激励教师作出突出贡献，重点向关键岗位、业务骨干、教学科研一线、成果显著的人才倾斜，鼓励多劳多得、优绩优酬、优质优酬。优化和规范专业技术职务评聘机制，按岗聘任，评聘结合，切实提高师德水平和业务能力，建立不同系列、学科门类的专业技术人员分类管理、评价的机制，充分调动各类人员的积极性和创造力。</w:t>
      </w:r>
    </w:p>
    <w:p>
      <w:pPr>
        <w:pStyle w:val="15"/>
        <w:numPr>
          <w:ilvl w:val="0"/>
          <w:numId w:val="2"/>
        </w:numPr>
        <w:spacing w:line="540" w:lineRule="exact"/>
        <w:ind w:left="0" w:firstLine="640"/>
        <w:rPr>
          <w:rFonts w:ascii="仿宋" w:hAnsi="仿宋" w:eastAsia="仿宋" w:cs="仿宋"/>
          <w:sz w:val="32"/>
          <w:szCs w:val="32"/>
        </w:rPr>
      </w:pPr>
      <w:r>
        <w:rPr>
          <w:rFonts w:ascii="仿宋" w:hAnsi="仿宋" w:eastAsia="仿宋" w:cs="仿宋"/>
          <w:sz w:val="32"/>
          <w:szCs w:val="32"/>
        </w:rPr>
        <w:t>完善特聘教授（讲座教授）等柔性引进人才制度。从学校学科建设、师资队伍建设的实际需要出发，进一步完善名誉教授、客座教授、特聘教授和兼职教师等类型的兼职特聘教师制度，积极鼓励二级学院与学科平台利用学科建设经费、学院自主经费等途径聘用海内外知名学者和社会各界人士，进一步强化高层次人才积聚力度，</w:t>
      </w:r>
      <w:r>
        <w:rPr>
          <w:rFonts w:hint="eastAsia" w:ascii="仿宋" w:hAnsi="仿宋" w:eastAsia="仿宋" w:cs="仿宋"/>
          <w:sz w:val="32"/>
          <w:szCs w:val="32"/>
        </w:rPr>
        <w:t>引入校外优质学术资源和产业资源，</w:t>
      </w:r>
      <w:r>
        <w:rPr>
          <w:rFonts w:ascii="仿宋" w:hAnsi="仿宋" w:eastAsia="仿宋" w:cs="仿宋"/>
          <w:sz w:val="32"/>
          <w:szCs w:val="32"/>
        </w:rPr>
        <w:t>提升我校的整体学术水平和</w:t>
      </w:r>
      <w:r>
        <w:rPr>
          <w:rFonts w:hint="eastAsia" w:ascii="仿宋" w:hAnsi="仿宋" w:eastAsia="仿宋" w:cs="仿宋"/>
          <w:sz w:val="32"/>
          <w:szCs w:val="32"/>
        </w:rPr>
        <w:t>技术</w:t>
      </w:r>
      <w:r>
        <w:rPr>
          <w:rFonts w:ascii="仿宋" w:hAnsi="仿宋" w:eastAsia="仿宋" w:cs="仿宋"/>
          <w:sz w:val="32"/>
          <w:szCs w:val="32"/>
        </w:rPr>
        <w:t>创新能力。</w:t>
      </w:r>
    </w:p>
    <w:p>
      <w:pPr>
        <w:pStyle w:val="15"/>
        <w:numPr>
          <w:ilvl w:val="0"/>
          <w:numId w:val="2"/>
        </w:numPr>
        <w:spacing w:line="540" w:lineRule="exact"/>
        <w:ind w:left="0" w:firstLine="640"/>
        <w:rPr>
          <w:rFonts w:ascii="仿宋" w:hAnsi="仿宋" w:eastAsia="仿宋" w:cs="仿宋"/>
          <w:sz w:val="32"/>
          <w:szCs w:val="32"/>
        </w:rPr>
      </w:pPr>
      <w:r>
        <w:rPr>
          <w:rFonts w:ascii="Courier New" w:hAnsi="Courier New" w:eastAsia="仿宋" w:cs="Courier New"/>
          <w:sz w:val="32"/>
          <w:szCs w:val="32"/>
        </w:rPr>
        <w:t>﻿</w:t>
      </w:r>
      <w:r>
        <w:rPr>
          <w:rFonts w:ascii="仿宋" w:hAnsi="仿宋" w:eastAsia="仿宋" w:cs="仿宋"/>
          <w:sz w:val="32"/>
          <w:szCs w:val="32"/>
        </w:rPr>
        <w:t>相同或相关学科方向的科研人员组成学术团队，学术团队可以申请团队聘岗和团队考核。团队聘岗和团队考核要以学术水平目标和科研量化任务为聘岗主要依据和考核核心内容；对实施团队聘岗和团队考核，学校在岗级量和学科条件投入上给予政策倾斜，二级学院也应制定相应的团队薪酬、团队激励等配套制度。</w:t>
      </w:r>
    </w:p>
    <w:p>
      <w:pPr>
        <w:pStyle w:val="15"/>
        <w:spacing w:line="540" w:lineRule="exact"/>
        <w:ind w:left="640" w:firstLine="0" w:firstLineChars="0"/>
        <w:rPr>
          <w:rFonts w:hint="eastAsia" w:ascii="仿宋" w:hAnsi="仿宋" w:eastAsia="仿宋" w:cs="仿宋"/>
          <w:sz w:val="32"/>
          <w:szCs w:val="32"/>
        </w:rPr>
      </w:pPr>
    </w:p>
    <w:p>
      <w:pPr>
        <w:numPr>
          <w:ilvl w:val="0"/>
          <w:numId w:val="1"/>
        </w:num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聚焦区域经济社会发展，开展应用型科研</w:t>
      </w:r>
    </w:p>
    <w:p>
      <w:pPr>
        <w:pStyle w:val="15"/>
        <w:numPr>
          <w:ilvl w:val="0"/>
          <w:numId w:val="2"/>
        </w:numPr>
        <w:spacing w:line="540" w:lineRule="exact"/>
        <w:ind w:left="0" w:firstLine="640"/>
        <w:rPr>
          <w:rFonts w:ascii="仿宋" w:hAnsi="仿宋" w:eastAsia="仿宋" w:cs="仿宋"/>
          <w:sz w:val="32"/>
          <w:szCs w:val="32"/>
        </w:rPr>
      </w:pPr>
      <w:r>
        <w:rPr>
          <w:rFonts w:ascii="仿宋" w:hAnsi="仿宋" w:eastAsia="仿宋" w:cs="仿宋"/>
          <w:sz w:val="32"/>
          <w:szCs w:val="32"/>
        </w:rPr>
        <w:t>围绕人工智能、大数据计算、脑机融合、网络安全,以及生物</w:t>
      </w:r>
      <w:r>
        <w:rPr>
          <w:rFonts w:hint="eastAsia" w:ascii="仿宋" w:hAnsi="仿宋" w:eastAsia="仿宋" w:cs="仿宋"/>
          <w:sz w:val="32"/>
          <w:szCs w:val="32"/>
        </w:rPr>
        <w:t>医药、</w:t>
      </w:r>
      <w:r>
        <w:rPr>
          <w:rFonts w:ascii="仿宋" w:hAnsi="仿宋" w:eastAsia="仿宋" w:cs="仿宋"/>
          <w:sz w:val="32"/>
          <w:szCs w:val="32"/>
        </w:rPr>
        <w:t>新材料、先进制造</w:t>
      </w:r>
      <w:r>
        <w:rPr>
          <w:rFonts w:hint="eastAsia" w:ascii="仿宋" w:hAnsi="仿宋" w:eastAsia="仿宋" w:cs="仿宋"/>
          <w:sz w:val="32"/>
          <w:szCs w:val="32"/>
        </w:rPr>
        <w:t>、生态环境等研究领域</w:t>
      </w:r>
      <w:r>
        <w:rPr>
          <w:rFonts w:ascii="仿宋" w:hAnsi="仿宋" w:eastAsia="仿宋" w:cs="仿宋"/>
          <w:sz w:val="32"/>
          <w:szCs w:val="32"/>
        </w:rPr>
        <w:t>，加强基础理论研究</w:t>
      </w:r>
      <w:r>
        <w:rPr>
          <w:rFonts w:hint="eastAsia" w:ascii="仿宋" w:hAnsi="仿宋" w:eastAsia="仿宋" w:cs="仿宋"/>
          <w:sz w:val="32"/>
          <w:szCs w:val="32"/>
        </w:rPr>
        <w:t>的</w:t>
      </w:r>
      <w:r>
        <w:rPr>
          <w:rFonts w:ascii="仿宋" w:hAnsi="仿宋" w:eastAsia="仿宋" w:cs="仿宋"/>
          <w:sz w:val="32"/>
          <w:szCs w:val="32"/>
        </w:rPr>
        <w:t>布局，强化变革性、交叉性</w:t>
      </w:r>
      <w:r>
        <w:rPr>
          <w:rFonts w:hint="eastAsia" w:ascii="仿宋" w:hAnsi="仿宋" w:eastAsia="仿宋" w:cs="仿宋"/>
          <w:sz w:val="32"/>
          <w:szCs w:val="32"/>
        </w:rPr>
        <w:t>、应用性的</w:t>
      </w:r>
      <w:r>
        <w:rPr>
          <w:rFonts w:ascii="仿宋" w:hAnsi="仿宋" w:eastAsia="仿宋" w:cs="仿宋"/>
          <w:sz w:val="32"/>
          <w:szCs w:val="32"/>
        </w:rPr>
        <w:t>基础研究，引领原创成果</w:t>
      </w:r>
      <w:r>
        <w:rPr>
          <w:rFonts w:hint="eastAsia" w:ascii="仿宋" w:hAnsi="仿宋" w:eastAsia="仿宋" w:cs="仿宋"/>
          <w:sz w:val="32"/>
          <w:szCs w:val="32"/>
        </w:rPr>
        <w:t>的</w:t>
      </w:r>
      <w:r>
        <w:rPr>
          <w:rFonts w:ascii="仿宋" w:hAnsi="仿宋" w:eastAsia="仿宋" w:cs="仿宋"/>
          <w:sz w:val="32"/>
          <w:szCs w:val="32"/>
        </w:rPr>
        <w:t>重大突破。以国家自然科学基金、省自然科学基金为抓手，鼓励教师开展前瞻性基础研究，推动实施青年基础研究专项，重点支持40周岁以下青年教师提升基本科研能力，在科研领域自由探索、自主创新。力争我校国家、省自然科学基金等基础研究项目</w:t>
      </w:r>
      <w:r>
        <w:rPr>
          <w:rFonts w:hint="eastAsia" w:ascii="仿宋" w:hAnsi="仿宋" w:eastAsia="仿宋" w:cs="仿宋"/>
          <w:sz w:val="32"/>
          <w:szCs w:val="32"/>
        </w:rPr>
        <w:t>具有较大增长</w:t>
      </w:r>
      <w:r>
        <w:rPr>
          <w:rFonts w:ascii="仿宋" w:hAnsi="仿宋" w:eastAsia="仿宋" w:cs="仿宋"/>
          <w:sz w:val="32"/>
          <w:szCs w:val="32"/>
        </w:rPr>
        <w:t>。</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聚焦国家和浙江省重大战略任务，紧密服务浙江的</w:t>
      </w:r>
      <w:r>
        <w:rPr>
          <w:rFonts w:ascii="仿宋" w:hAnsi="仿宋" w:eastAsia="仿宋" w:cs="仿宋"/>
          <w:sz w:val="32"/>
          <w:szCs w:val="32"/>
        </w:rPr>
        <w:t>信息、环保、健康、旅游、时尚、金融、高端装备制造、文化等万亿产业</w:t>
      </w:r>
      <w:r>
        <w:rPr>
          <w:rFonts w:hint="eastAsia" w:ascii="仿宋" w:hAnsi="仿宋" w:eastAsia="仿宋" w:cs="仿宋"/>
          <w:sz w:val="32"/>
          <w:szCs w:val="32"/>
        </w:rPr>
        <w:t>，</w:t>
      </w:r>
      <w:r>
        <w:rPr>
          <w:rFonts w:ascii="仿宋" w:hAnsi="仿宋" w:eastAsia="仿宋" w:cs="仿宋"/>
          <w:sz w:val="32"/>
          <w:szCs w:val="32"/>
        </w:rPr>
        <w:t>紧扣新兴产业培育发展和传统产业改造提升的技术需求，按照产业链、创新链、资金链、政策链融合要求，与企业联合开展重点研发项目联合攻关；</w:t>
      </w:r>
      <w:r>
        <w:rPr>
          <w:rFonts w:hint="eastAsia" w:ascii="仿宋" w:hAnsi="仿宋" w:eastAsia="仿宋" w:cs="仿宋"/>
          <w:sz w:val="32"/>
          <w:szCs w:val="32"/>
        </w:rPr>
        <w:t>积</w:t>
      </w:r>
      <w:r>
        <w:rPr>
          <w:rFonts w:ascii="仿宋" w:hAnsi="仿宋" w:eastAsia="仿宋" w:cs="仿宋"/>
          <w:sz w:val="32"/>
          <w:szCs w:val="32"/>
        </w:rPr>
        <w:t>极对接行业龙头骨干企业、高新技术企业、科技型企业等创新主体，参与企业研发活动、研发机构建设</w:t>
      </w:r>
      <w:r>
        <w:rPr>
          <w:rFonts w:hint="eastAsia" w:ascii="仿宋" w:hAnsi="仿宋" w:eastAsia="仿宋" w:cs="仿宋"/>
          <w:sz w:val="32"/>
          <w:szCs w:val="32"/>
        </w:rPr>
        <w:t>。</w:t>
      </w:r>
      <w:r>
        <w:rPr>
          <w:rFonts w:ascii="仿宋" w:hAnsi="仿宋" w:eastAsia="仿宋" w:cs="仿宋"/>
          <w:sz w:val="32"/>
          <w:szCs w:val="32"/>
        </w:rPr>
        <w:t>力争省重点研</w:t>
      </w:r>
      <w:r>
        <w:rPr>
          <w:rFonts w:hint="eastAsia" w:ascii="仿宋" w:hAnsi="仿宋" w:eastAsia="仿宋" w:cs="仿宋"/>
          <w:sz w:val="32"/>
          <w:szCs w:val="32"/>
        </w:rPr>
        <w:t>发</w:t>
      </w:r>
      <w:r>
        <w:rPr>
          <w:rFonts w:ascii="仿宋" w:hAnsi="仿宋" w:eastAsia="仿宋" w:cs="仿宋"/>
          <w:sz w:val="32"/>
          <w:szCs w:val="32"/>
        </w:rPr>
        <w:t>项目承接能力稳步提升，承担项目数稳步增长，力争国家重大/重点研发项目实现零的突破。</w:t>
      </w:r>
    </w:p>
    <w:p>
      <w:pPr>
        <w:pStyle w:val="15"/>
        <w:numPr>
          <w:ilvl w:val="0"/>
          <w:numId w:val="2"/>
        </w:numPr>
        <w:spacing w:line="540" w:lineRule="exact"/>
        <w:ind w:left="0" w:firstLine="640"/>
        <w:rPr>
          <w:rFonts w:ascii="仿宋" w:hAnsi="仿宋" w:eastAsia="仿宋" w:cs="仿宋"/>
          <w:sz w:val="32"/>
          <w:szCs w:val="32"/>
        </w:rPr>
      </w:pPr>
      <w:r>
        <w:rPr>
          <w:rFonts w:ascii="仿宋" w:hAnsi="仿宋" w:eastAsia="仿宋" w:cs="仿宋"/>
          <w:sz w:val="32"/>
          <w:szCs w:val="32"/>
        </w:rPr>
        <w:t>加强科技成果转移转化工作力度。鼓励现有授权发明专利积极实现产业化，对接专业成果转移转化部门和社会中介，落实科技成果转移转化激励政策，加强技术经纪人队伍建设，鼓励校内外单位、个人参与学校科技成果转移转化工作</w:t>
      </w:r>
      <w:r>
        <w:rPr>
          <w:rFonts w:hint="eastAsia" w:ascii="仿宋" w:hAnsi="仿宋" w:eastAsia="仿宋" w:cs="仿宋"/>
          <w:sz w:val="32"/>
          <w:szCs w:val="32"/>
        </w:rPr>
        <w:t>。</w:t>
      </w:r>
      <w:r>
        <w:rPr>
          <w:rFonts w:ascii="Courier New" w:hAnsi="Courier New" w:eastAsia="仿宋" w:cs="Courier New"/>
          <w:sz w:val="32"/>
          <w:szCs w:val="32"/>
        </w:rPr>
        <w:t>﻿</w:t>
      </w:r>
      <w:r>
        <w:rPr>
          <w:rFonts w:hint="eastAsia" w:ascii="仿宋" w:hAnsi="仿宋" w:eastAsia="仿宋" w:cs="仿宋"/>
          <w:sz w:val="32"/>
          <w:szCs w:val="32"/>
        </w:rPr>
        <w:t>做实做强安吉中德智能冷链物流研究院、海宁（中德）智能制造研究院等地方研究院，推进校</w:t>
      </w:r>
      <w:r>
        <w:rPr>
          <w:rFonts w:ascii="仿宋" w:hAnsi="仿宋" w:eastAsia="仿宋" w:cs="仿宋"/>
          <w:sz w:val="32"/>
          <w:szCs w:val="32"/>
        </w:rPr>
        <w:t>科技成果转移转化中心到全省各市县设立分中心或</w:t>
      </w:r>
      <w:r>
        <w:rPr>
          <w:rFonts w:hint="eastAsia" w:ascii="仿宋" w:hAnsi="仿宋" w:eastAsia="仿宋" w:cs="仿宋"/>
          <w:sz w:val="32"/>
          <w:szCs w:val="32"/>
        </w:rPr>
        <w:t>地方</w:t>
      </w:r>
      <w:r>
        <w:rPr>
          <w:rFonts w:ascii="仿宋" w:hAnsi="仿宋" w:eastAsia="仿宋" w:cs="仿宋"/>
          <w:sz w:val="32"/>
          <w:szCs w:val="32"/>
        </w:rPr>
        <w:t>研究院</w:t>
      </w:r>
      <w:r>
        <w:rPr>
          <w:rFonts w:hint="eastAsia" w:ascii="仿宋" w:hAnsi="仿宋" w:eastAsia="仿宋" w:cs="仿宋"/>
          <w:sz w:val="32"/>
          <w:szCs w:val="32"/>
        </w:rPr>
        <w:t>。</w:t>
      </w:r>
      <w:r>
        <w:rPr>
          <w:rFonts w:ascii="仿宋" w:hAnsi="仿宋" w:eastAsia="仿宋" w:cs="仿宋"/>
          <w:sz w:val="32"/>
          <w:szCs w:val="32"/>
        </w:rPr>
        <w:t>探索大学科技园市场化运行机制，大力发展技术经纪、知识产权、检验检测等第三方专业化服务，积极为入园企业提供创业辅导、企业融资、工业设计等社会化、市场化服务；做好中国科协创新创业基地建设项目，鼓励学校科技园到有条件的市县设立创新创业基地</w:t>
      </w:r>
      <w:r>
        <w:rPr>
          <w:rFonts w:hint="eastAsia" w:ascii="仿宋" w:hAnsi="仿宋" w:eastAsia="仿宋" w:cs="仿宋"/>
          <w:sz w:val="32"/>
          <w:szCs w:val="32"/>
        </w:rPr>
        <w:t>。</w:t>
      </w:r>
      <w:r>
        <w:rPr>
          <w:rFonts w:ascii="Courier New" w:hAnsi="Courier New" w:eastAsia="仿宋" w:cs="Courier New"/>
          <w:sz w:val="32"/>
          <w:szCs w:val="32"/>
        </w:rPr>
        <w:t>﻿积极探索通过建立产学研用的合作新模式，实现学科和公司、基础研究与技术创新、科学研究与产业化互为支撑、同步发展、良性循环，构建产学研用同步优化的创新发展新体制</w:t>
      </w:r>
      <w:r>
        <w:rPr>
          <w:rFonts w:hint="eastAsia" w:ascii="Courier New" w:hAnsi="Courier New" w:eastAsia="仿宋" w:cs="Courier New"/>
          <w:sz w:val="32"/>
          <w:szCs w:val="32"/>
        </w:rPr>
        <w:t>。</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充分利用岗位聘任与职称评聘的调节手段，加大科研工作考核力度，</w:t>
      </w:r>
      <w:r>
        <w:rPr>
          <w:rFonts w:ascii="仿宋" w:hAnsi="仿宋" w:eastAsia="仿宋" w:cs="仿宋"/>
          <w:sz w:val="32"/>
          <w:szCs w:val="32"/>
        </w:rPr>
        <w:t>优化科研</w:t>
      </w:r>
      <w:r>
        <w:rPr>
          <w:rFonts w:hint="eastAsia" w:ascii="仿宋" w:hAnsi="仿宋" w:eastAsia="仿宋" w:cs="仿宋"/>
          <w:sz w:val="32"/>
          <w:szCs w:val="32"/>
        </w:rPr>
        <w:t>业绩</w:t>
      </w:r>
      <w:r>
        <w:rPr>
          <w:rFonts w:ascii="仿宋" w:hAnsi="仿宋" w:eastAsia="仿宋" w:cs="仿宋"/>
          <w:sz w:val="32"/>
          <w:szCs w:val="32"/>
        </w:rPr>
        <w:t>评价</w:t>
      </w:r>
      <w:r>
        <w:rPr>
          <w:rFonts w:hint="eastAsia" w:ascii="仿宋" w:hAnsi="仿宋" w:eastAsia="仿宋" w:cs="仿宋"/>
          <w:sz w:val="32"/>
          <w:szCs w:val="32"/>
        </w:rPr>
        <w:t>与考核</w:t>
      </w:r>
      <w:r>
        <w:rPr>
          <w:rFonts w:ascii="仿宋" w:hAnsi="仿宋" w:eastAsia="仿宋" w:cs="仿宋"/>
          <w:sz w:val="32"/>
          <w:szCs w:val="32"/>
        </w:rPr>
        <w:t>方法</w:t>
      </w:r>
      <w:r>
        <w:rPr>
          <w:rFonts w:hint="eastAsia" w:ascii="仿宋" w:hAnsi="仿宋" w:eastAsia="仿宋" w:cs="仿宋"/>
          <w:sz w:val="32"/>
          <w:szCs w:val="32"/>
        </w:rPr>
        <w:t>，提高教师从事科研工作的积极性，经过三至五年，从事科研队伍规模增加一倍，师均年度科研业绩提高一倍，全校年度实到科研经费达到一亿元。</w:t>
      </w:r>
    </w:p>
    <w:p>
      <w:pPr>
        <w:pStyle w:val="15"/>
        <w:spacing w:line="540" w:lineRule="exact"/>
        <w:ind w:left="640" w:firstLine="0" w:firstLineChars="0"/>
        <w:rPr>
          <w:rFonts w:hint="eastAsia" w:ascii="仿宋" w:hAnsi="仿宋" w:eastAsia="仿宋" w:cs="仿宋"/>
          <w:sz w:val="32"/>
          <w:szCs w:val="32"/>
        </w:rPr>
      </w:pPr>
    </w:p>
    <w:p>
      <w:pPr>
        <w:numPr>
          <w:ilvl w:val="0"/>
          <w:numId w:val="1"/>
        </w:num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加强学位点内涵建设，全面完成应用型学位点布局</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抓住2</w:t>
      </w:r>
      <w:r>
        <w:rPr>
          <w:rFonts w:ascii="仿宋" w:hAnsi="仿宋" w:eastAsia="仿宋" w:cs="仿宋"/>
          <w:sz w:val="32"/>
          <w:szCs w:val="32"/>
        </w:rPr>
        <w:t>020</w:t>
      </w:r>
      <w:r>
        <w:rPr>
          <w:rFonts w:hint="eastAsia" w:ascii="仿宋" w:hAnsi="仿宋" w:eastAsia="仿宋" w:cs="仿宋"/>
          <w:sz w:val="32"/>
          <w:szCs w:val="32"/>
        </w:rPr>
        <w:t>年新增硕士学位授权审核的机会申报</w:t>
      </w:r>
      <w:r>
        <w:rPr>
          <w:rFonts w:ascii="Courier New" w:hAnsi="Courier New" w:eastAsia="仿宋" w:cs="Courier New"/>
          <w:sz w:val="32"/>
          <w:szCs w:val="32"/>
        </w:rPr>
        <w:t>﻿</w:t>
      </w:r>
      <w:r>
        <w:rPr>
          <w:rFonts w:hint="eastAsia" w:ascii="Courier New" w:hAnsi="Courier New" w:eastAsia="仿宋" w:cs="Courier New"/>
          <w:sz w:val="32"/>
          <w:szCs w:val="32"/>
        </w:rPr>
        <w:t>，并</w:t>
      </w:r>
      <w:r>
        <w:rPr>
          <w:rFonts w:hint="eastAsia" w:ascii="仿宋" w:hAnsi="仿宋" w:eastAsia="仿宋" w:cs="仿宋"/>
          <w:sz w:val="32"/>
          <w:szCs w:val="32"/>
        </w:rPr>
        <w:t>力争获批</w:t>
      </w:r>
      <w:r>
        <w:rPr>
          <w:rFonts w:ascii="仿宋" w:hAnsi="仿宋" w:eastAsia="仿宋" w:cs="仿宋"/>
          <w:sz w:val="32"/>
          <w:szCs w:val="32"/>
        </w:rPr>
        <w:t>电子信息、材料与化工、资源与环境、能源动力、土木水利、生物与医药等工程硕士类别的授予权，完成我校的硕士学位点布局</w:t>
      </w:r>
      <w:r>
        <w:rPr>
          <w:rFonts w:hint="eastAsia" w:ascii="仿宋" w:hAnsi="仿宋" w:eastAsia="仿宋" w:cs="仿宋"/>
          <w:sz w:val="32"/>
          <w:szCs w:val="32"/>
        </w:rPr>
        <w:t>，</w:t>
      </w:r>
      <w:r>
        <w:rPr>
          <w:rFonts w:ascii="仿宋" w:hAnsi="仿宋" w:eastAsia="仿宋" w:cs="仿宋"/>
          <w:sz w:val="32"/>
          <w:szCs w:val="32"/>
        </w:rPr>
        <w:t>基本形成学</w:t>
      </w:r>
      <w:r>
        <w:rPr>
          <w:rFonts w:hint="eastAsia" w:ascii="仿宋" w:hAnsi="仿宋" w:eastAsia="仿宋" w:cs="仿宋"/>
          <w:sz w:val="32"/>
          <w:szCs w:val="32"/>
        </w:rPr>
        <w:t>位点</w:t>
      </w:r>
      <w:r>
        <w:rPr>
          <w:rFonts w:ascii="仿宋" w:hAnsi="仿宋" w:eastAsia="仿宋" w:cs="仿宋"/>
          <w:sz w:val="32"/>
          <w:szCs w:val="32"/>
        </w:rPr>
        <w:t>布局协调合理、规模适当的</w:t>
      </w:r>
      <w:r>
        <w:rPr>
          <w:rFonts w:hint="eastAsia" w:ascii="仿宋" w:hAnsi="仿宋" w:eastAsia="仿宋" w:cs="仿宋"/>
          <w:sz w:val="32"/>
          <w:szCs w:val="32"/>
        </w:rPr>
        <w:t>硕士</w:t>
      </w:r>
      <w:r>
        <w:rPr>
          <w:rFonts w:ascii="仿宋" w:hAnsi="仿宋" w:eastAsia="仿宋" w:cs="仿宋"/>
          <w:sz w:val="32"/>
          <w:szCs w:val="32"/>
        </w:rPr>
        <w:t>研究生教育培养体系。</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以教育部学位点合格评估为抓手，进一步加强机械工程、土木工程、化学工程与技术等3个一级学科硕士学位点，车辆工程、汉语国际教育等2个专业硕士类别的建设，凝练研究方向，强化学科特色，提高师资队伍和科学研究水平，改进人才培养条件，深化研究生培养模式改革，提升学位点建设水平；以教育部学位点专项评估为契机，启动新增的数学、物理学等2个一级学科硕士学位点，应用统计、国际商务、艺术等3个专业硕士类别的建设，确定人才培养方向，建设高水平导师队伍，构建人才培养体系，夯实人才培养条件，为高质量的研究生教育奠定良好的基础。</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以服务需求、提高质量为宗旨，依据学校发展战略、学科水平评估、学位点专项评估及合格评估结果，实行学位授权点动态调整，建立与我校学科建设相协调的学位点动态调整长效机制。自主撤销条件不够、需求不足、培养质量不高或不符合学校发展战略的学位授权点；优先增列符合学校发展战略、符合经济社会发展需要，特色鲜明、发展潜力大的学位授权点。通过动态调整优化结构布局，提高人才培养质量，更好地服务经济社发发展。</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鼓励具有较高水平教师到其它高校兼任博士生指导教师，开展实质性指导工作，并给予必要的经费支持和工作量核算。面向现有的硕士学位点，按照博士授权单位和各博士点基本申报的要求，启动</w:t>
      </w:r>
      <w:r>
        <w:rPr>
          <w:rFonts w:ascii="仿宋" w:hAnsi="仿宋" w:eastAsia="仿宋" w:cs="仿宋"/>
          <w:sz w:val="32"/>
          <w:szCs w:val="32"/>
        </w:rPr>
        <w:t>博士学位授权点</w:t>
      </w:r>
      <w:r>
        <w:rPr>
          <w:rFonts w:hint="eastAsia" w:ascii="仿宋" w:hAnsi="仿宋" w:eastAsia="仿宋" w:cs="仿宋"/>
          <w:sz w:val="32"/>
          <w:szCs w:val="32"/>
        </w:rPr>
        <w:t>的培育工作</w:t>
      </w:r>
      <w:r>
        <w:rPr>
          <w:rFonts w:ascii="仿宋" w:hAnsi="仿宋" w:eastAsia="仿宋" w:cs="仿宋"/>
          <w:sz w:val="32"/>
          <w:szCs w:val="32"/>
        </w:rPr>
        <w:t>，</w:t>
      </w:r>
      <w:r>
        <w:rPr>
          <w:rFonts w:hint="eastAsia" w:ascii="仿宋" w:hAnsi="仿宋" w:eastAsia="仿宋" w:cs="仿宋"/>
          <w:sz w:val="32"/>
          <w:szCs w:val="32"/>
        </w:rPr>
        <w:t>探索</w:t>
      </w:r>
      <w:r>
        <w:rPr>
          <w:rFonts w:ascii="仿宋" w:hAnsi="仿宋" w:eastAsia="仿宋" w:cs="仿宋"/>
          <w:sz w:val="32"/>
          <w:szCs w:val="32"/>
        </w:rPr>
        <w:t>多途径实现博士</w:t>
      </w:r>
      <w:r>
        <w:rPr>
          <w:rFonts w:hint="eastAsia" w:ascii="仿宋" w:hAnsi="仿宋" w:eastAsia="仿宋" w:cs="仿宋"/>
          <w:sz w:val="32"/>
          <w:szCs w:val="32"/>
        </w:rPr>
        <w:t>研究生</w:t>
      </w:r>
      <w:r>
        <w:rPr>
          <w:rFonts w:ascii="仿宋" w:hAnsi="仿宋" w:eastAsia="仿宋" w:cs="仿宋"/>
          <w:sz w:val="32"/>
          <w:szCs w:val="32"/>
        </w:rPr>
        <w:t>培养</w:t>
      </w:r>
      <w:r>
        <w:rPr>
          <w:rFonts w:hint="eastAsia" w:ascii="仿宋" w:hAnsi="仿宋" w:eastAsia="仿宋" w:cs="仿宋"/>
          <w:sz w:val="32"/>
          <w:szCs w:val="32"/>
        </w:rPr>
        <w:t>的路径。</w:t>
      </w:r>
    </w:p>
    <w:p>
      <w:pPr>
        <w:pStyle w:val="15"/>
        <w:spacing w:line="540" w:lineRule="exact"/>
        <w:ind w:left="640" w:firstLine="0" w:firstLineChars="0"/>
        <w:rPr>
          <w:rFonts w:hint="eastAsia" w:ascii="仿宋" w:hAnsi="仿宋" w:eastAsia="仿宋" w:cs="仿宋"/>
          <w:sz w:val="32"/>
          <w:szCs w:val="32"/>
        </w:rPr>
      </w:pPr>
    </w:p>
    <w:p>
      <w:pPr>
        <w:numPr>
          <w:ilvl w:val="0"/>
          <w:numId w:val="1"/>
        </w:num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深入推进研究生教育创新与改革，提升研究生培养质量</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开展应用型硕士学位研究生培养模式改革，做实做强浙江科技学院前湾新区省级研究生联合培养基地。积极将我校与慈溪市政府、慈溪市行业企业、军事科学院军事医学研究院、台州学院、浙江交通职业技术学院的</w:t>
      </w:r>
      <w:r>
        <w:rPr>
          <w:rFonts w:ascii="仿宋" w:hAnsi="仿宋" w:eastAsia="仿宋" w:cs="仿宋"/>
          <w:sz w:val="32"/>
          <w:szCs w:val="32"/>
        </w:rPr>
        <w:t>优质资源</w:t>
      </w:r>
      <w:r>
        <w:rPr>
          <w:rFonts w:hint="eastAsia" w:ascii="仿宋" w:hAnsi="仿宋" w:eastAsia="仿宋" w:cs="仿宋"/>
          <w:sz w:val="32"/>
          <w:szCs w:val="32"/>
        </w:rPr>
        <w:t>整合在一起</w:t>
      </w:r>
      <w:r>
        <w:rPr>
          <w:rFonts w:ascii="仿宋" w:hAnsi="仿宋" w:eastAsia="仿宋" w:cs="仿宋"/>
          <w:sz w:val="32"/>
          <w:szCs w:val="32"/>
        </w:rPr>
        <w:t>，共同推进“科学研究-技术创新-产业培育-研究生教育”</w:t>
      </w:r>
      <w:r>
        <w:rPr>
          <w:rFonts w:hint="eastAsia" w:ascii="仿宋" w:hAnsi="仿宋" w:eastAsia="仿宋" w:cs="仿宋"/>
          <w:sz w:val="32"/>
          <w:szCs w:val="32"/>
        </w:rPr>
        <w:t>全链条的发展模式，</w:t>
      </w:r>
      <w:r>
        <w:rPr>
          <w:rFonts w:ascii="仿宋" w:hAnsi="仿宋" w:eastAsia="仿宋" w:cs="仿宋"/>
          <w:sz w:val="32"/>
          <w:szCs w:val="32"/>
        </w:rPr>
        <w:t>“高职-本科-硕士-博士”</w:t>
      </w:r>
      <w:r>
        <w:rPr>
          <w:rFonts w:hint="eastAsia" w:ascii="仿宋" w:hAnsi="仿宋" w:eastAsia="仿宋" w:cs="仿宋"/>
          <w:sz w:val="32"/>
          <w:szCs w:val="32"/>
        </w:rPr>
        <w:t>一体化的人才培养和</w:t>
      </w:r>
      <w:r>
        <w:rPr>
          <w:rFonts w:ascii="仿宋" w:hAnsi="仿宋" w:eastAsia="仿宋" w:cs="仿宋"/>
          <w:sz w:val="32"/>
          <w:szCs w:val="32"/>
        </w:rPr>
        <w:t>“国际资源-政府资源-行业资源-校所资源”</w:t>
      </w:r>
      <w:r>
        <w:rPr>
          <w:rFonts w:hint="eastAsia" w:ascii="仿宋" w:hAnsi="仿宋" w:eastAsia="仿宋" w:cs="仿宋"/>
          <w:sz w:val="32"/>
          <w:szCs w:val="32"/>
        </w:rPr>
        <w:t>全方位的资源共享</w:t>
      </w:r>
      <w:r>
        <w:rPr>
          <w:rFonts w:ascii="仿宋" w:hAnsi="仿宋" w:eastAsia="仿宋" w:cs="仿宋"/>
          <w:sz w:val="32"/>
          <w:szCs w:val="32"/>
        </w:rPr>
        <w:t>，为联合培养研究生的成长、成才创造倍增效应。</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以提高学位授予质量为目标，完善研究生课程体系，梳理和明确课程定位，推进研究生优质课程建设、案例库建设，把论文写作指导课程作为必修课纳入课程体系，全面提高研究生授课质量，加强研究生管理系统的信息化平台建设，切实提高研究生教学管理效率；加大研究生教育教学成果的培育，鼓励研究生任课教师、导师申报省级/校级教改课题，争取在教学理念、教学内容、教材建设、教学方法等方面取得成效，发表或出版若干教改论著，全面提升研究生课程教学质量。鼓励各学位点总结研究生教育教学过程中的经验和做法，形成可推广、可借鉴的成果，申报教学成果奖励，进一步促进研究生教育教学改革。</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加强过程管理和学业考核，完善研究生教育质量监控与保障体系，确保研究生培养质量。分层分类建立评价标准和评价办法，落实以教学督导为主、研究生评教为辅的研究生课程教学评价监督机制，对研究生教学活动全过程和教学效果进行监督。严格执行学位授予全方位全流程管理，重点抓学位论文开题、中期考核、评阅、答辩、学位评定等关键环节，进一步规范答辩程序。加大研究生学术成果产出的奖励力度，建立研究生创新基金和优秀硕士学位论文评选办法，鼓励研究生出高水平成果，鼓励研究生以第一作者发表高水平学术论文，以第一发明人获得专利授权。研究生科技成果的取得纳入学位点及相关二级学院的考评体系。开展毕业研究生发展质量跟踪调查，将用人单位的评价纳入教育质量和人才质量评价体系，建立研究生教育质量信息分析和预警机制，发布研究生教育发展年度报告，将研究生教育质量作为资源配置的重要依据。</w:t>
      </w:r>
    </w:p>
    <w:p>
      <w:pPr>
        <w:pStyle w:val="15"/>
        <w:spacing w:line="540" w:lineRule="exact"/>
        <w:ind w:left="640" w:firstLine="0" w:firstLineChars="0"/>
        <w:rPr>
          <w:rFonts w:hint="eastAsia" w:ascii="仿宋" w:hAnsi="仿宋" w:eastAsia="仿宋" w:cs="仿宋"/>
          <w:sz w:val="32"/>
          <w:szCs w:val="32"/>
        </w:rPr>
      </w:pPr>
    </w:p>
    <w:p>
      <w:pPr>
        <w:numPr>
          <w:ilvl w:val="0"/>
          <w:numId w:val="1"/>
        </w:num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规范学科建设与管理，改革</w:t>
      </w:r>
      <w:r>
        <w:rPr>
          <w:rFonts w:ascii="黑体" w:hAnsi="黑体" w:eastAsia="黑体" w:cs="黑体"/>
          <w:sz w:val="32"/>
          <w:szCs w:val="32"/>
        </w:rPr>
        <w:t>学科投入和评议制度</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建立合理完善的学科管理体系，学科建设实行学校、校级产业行业研究院/二级学院和学科三级管理。学校成立学科建设工作领导小组，学科处、人事处、规划处、科研处、教务处、资产处、计财处、国际处为成员单位。学科建设领导小组负责协调学科建设中的重大问题，制定和完善学科建设相关管理办法和政策，制定全校学科建设的总体规划，组织重点学科建设项目的立项论证、中期检查、评估及验收。学科处负责组织实施学科建设领导小组的各项决定和全校学科建设的日常管理工作等。各校级产业行业研究院/二级学院全面负责学科规划、建设与管理工作。</w:t>
      </w:r>
      <w:r>
        <w:rPr>
          <w:rFonts w:ascii="仿宋" w:hAnsi="仿宋" w:eastAsia="仿宋" w:cs="仿宋"/>
          <w:sz w:val="32"/>
          <w:szCs w:val="32"/>
        </w:rPr>
        <w:t>学校实行学科责任教授制度，设立学科责任教授岗</w:t>
      </w:r>
      <w:r>
        <w:rPr>
          <w:rFonts w:hint="eastAsia" w:ascii="仿宋" w:hAnsi="仿宋" w:eastAsia="仿宋" w:cs="仿宋"/>
          <w:sz w:val="32"/>
          <w:szCs w:val="32"/>
        </w:rPr>
        <w:t>，其中包括学科负责人和学科方向负责人，对学科责任教授岗在完成年度工作任务考核通过时，每年给予一定的津贴补助。</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统筹利用学科建设经费（包括省拨一流学科建设经费、校拨各类学科与平台的建设经费和运行经费、财政专项实验室建设经费），按绩效导向和避免重复建设的原则对学科建设投入实行项目制管理。产业行业研究院或二级学院每年提交学科建设项目申请，明确建设目标与任务，年度项目的考核目标必须</w:t>
      </w:r>
      <w:r>
        <w:rPr>
          <w:rFonts w:ascii="仿宋" w:hAnsi="仿宋" w:eastAsia="仿宋" w:cs="仿宋"/>
          <w:sz w:val="32"/>
          <w:szCs w:val="32"/>
        </w:rPr>
        <w:t>面向学位点建设、一流学科考核、教育部学科评估和省高校分类考核</w:t>
      </w:r>
      <w:r>
        <w:rPr>
          <w:rFonts w:hint="eastAsia" w:ascii="仿宋" w:hAnsi="仿宋" w:eastAsia="仿宋" w:cs="仿宋"/>
          <w:sz w:val="32"/>
          <w:szCs w:val="32"/>
        </w:rPr>
        <w:t>指标来制订。学</w:t>
      </w:r>
      <w:r>
        <w:rPr>
          <w:rFonts w:ascii="仿宋" w:hAnsi="仿宋" w:eastAsia="仿宋" w:cs="仿宋"/>
          <w:sz w:val="32"/>
          <w:szCs w:val="32"/>
        </w:rPr>
        <w:t>科建设项目实行动态管理，促进学科竞争</w:t>
      </w:r>
      <w:r>
        <w:rPr>
          <w:rFonts w:hint="eastAsia" w:ascii="仿宋" w:hAnsi="仿宋" w:eastAsia="仿宋" w:cs="仿宋"/>
          <w:sz w:val="32"/>
          <w:szCs w:val="32"/>
        </w:rPr>
        <w:t>，每年度对正在实施的项目进行过程跟踪和绩效评估，对</w:t>
      </w:r>
      <w:r>
        <w:rPr>
          <w:rFonts w:ascii="仿宋" w:hAnsi="仿宋" w:eastAsia="仿宋" w:cs="仿宋"/>
          <w:sz w:val="32"/>
          <w:szCs w:val="32"/>
        </w:rPr>
        <w:t>发展方向正确，建设成效显著的学科，适当加大经费资助力度。对未完成建设项目计划且差距较大的学科，暂停经费资助。</w:t>
      </w:r>
    </w:p>
    <w:p>
      <w:pPr>
        <w:pStyle w:val="15"/>
        <w:numPr>
          <w:ilvl w:val="0"/>
          <w:numId w:val="2"/>
        </w:numPr>
        <w:spacing w:line="540" w:lineRule="exact"/>
        <w:ind w:left="0" w:firstLine="640"/>
        <w:rPr>
          <w:rFonts w:ascii="仿宋" w:hAnsi="仿宋" w:eastAsia="仿宋" w:cs="仿宋"/>
          <w:sz w:val="32"/>
          <w:szCs w:val="32"/>
        </w:rPr>
      </w:pPr>
      <w:r>
        <w:rPr>
          <w:rFonts w:ascii="仿宋" w:hAnsi="仿宋" w:eastAsia="仿宋" w:cs="仿宋"/>
          <w:sz w:val="32"/>
          <w:szCs w:val="32"/>
        </w:rPr>
        <w:t>学校</w:t>
      </w:r>
      <w:r>
        <w:rPr>
          <w:rFonts w:hint="eastAsia" w:ascii="仿宋" w:hAnsi="仿宋" w:eastAsia="仿宋" w:cs="仿宋"/>
          <w:sz w:val="32"/>
          <w:szCs w:val="32"/>
        </w:rPr>
        <w:t>建立学科评议制度，并</w:t>
      </w:r>
      <w:r>
        <w:rPr>
          <w:rFonts w:ascii="仿宋" w:hAnsi="仿宋" w:eastAsia="仿宋" w:cs="仿宋"/>
          <w:sz w:val="32"/>
          <w:szCs w:val="32"/>
        </w:rPr>
        <w:t>建立学科建设质量评估体系</w:t>
      </w:r>
      <w:r>
        <w:rPr>
          <w:rFonts w:hint="eastAsia" w:ascii="仿宋" w:hAnsi="仿宋" w:eastAsia="仿宋" w:cs="仿宋"/>
          <w:sz w:val="32"/>
          <w:szCs w:val="32"/>
        </w:rPr>
        <w:t>，由学科管理部门</w:t>
      </w:r>
      <w:r>
        <w:rPr>
          <w:rFonts w:ascii="仿宋" w:hAnsi="仿宋" w:eastAsia="仿宋" w:cs="仿宋"/>
          <w:sz w:val="32"/>
          <w:szCs w:val="32"/>
        </w:rPr>
        <w:t>对各级学科、学位点、学科平台的发展动态数据进行核查统计、绩效评价、水平评估；通过中期检查、周期评估，按照学科完成的目标任务、学科评估的排名和排名进位、学科资金使用效率、投入产出效应、以及该学科引进高端人才情况，确定学科建设投入经费和配套经费额度。一级学科学位点学科</w:t>
      </w:r>
      <w:r>
        <w:rPr>
          <w:rFonts w:hint="eastAsia" w:ascii="仿宋" w:hAnsi="仿宋" w:eastAsia="仿宋" w:cs="仿宋"/>
          <w:sz w:val="32"/>
          <w:szCs w:val="32"/>
        </w:rPr>
        <w:t>应当</w:t>
      </w:r>
      <w:r>
        <w:rPr>
          <w:rFonts w:ascii="仿宋" w:hAnsi="仿宋" w:eastAsia="仿宋" w:cs="仿宋"/>
          <w:sz w:val="32"/>
          <w:szCs w:val="32"/>
        </w:rPr>
        <w:t>参加教育部学科评估。</w:t>
      </w:r>
      <w:r>
        <w:rPr>
          <w:rFonts w:hint="eastAsia" w:ascii="仿宋" w:hAnsi="仿宋" w:eastAsia="仿宋" w:cs="仿宋"/>
          <w:sz w:val="32"/>
          <w:szCs w:val="32"/>
        </w:rPr>
        <w:t>加强各类评估与考核结果的应用，</w:t>
      </w:r>
      <w:r>
        <w:rPr>
          <w:rFonts w:ascii="仿宋" w:hAnsi="仿宋" w:eastAsia="仿宋" w:cs="仿宋"/>
          <w:sz w:val="32"/>
          <w:szCs w:val="32"/>
        </w:rPr>
        <w:t>在校内校外评估与考核结果基础上建立学科、学位点动态调整机制</w:t>
      </w:r>
      <w:r>
        <w:rPr>
          <w:rFonts w:hint="eastAsia" w:ascii="仿宋" w:hAnsi="仿宋" w:eastAsia="仿宋" w:cs="仿宋"/>
          <w:sz w:val="32"/>
          <w:szCs w:val="32"/>
        </w:rPr>
        <w:t>。</w:t>
      </w:r>
    </w:p>
    <w:p>
      <w:pPr>
        <w:pStyle w:val="15"/>
        <w:numPr>
          <w:ilvl w:val="0"/>
          <w:numId w:val="2"/>
        </w:numPr>
        <w:spacing w:line="540" w:lineRule="exact"/>
        <w:ind w:left="0" w:firstLine="640"/>
        <w:rPr>
          <w:rFonts w:ascii="仿宋" w:hAnsi="仿宋" w:eastAsia="仿宋" w:cs="仿宋"/>
          <w:sz w:val="32"/>
          <w:szCs w:val="32"/>
        </w:rPr>
      </w:pPr>
      <w:r>
        <w:rPr>
          <w:rFonts w:hint="eastAsia" w:ascii="仿宋" w:hAnsi="仿宋" w:eastAsia="仿宋" w:cs="仿宋"/>
          <w:sz w:val="32"/>
          <w:szCs w:val="32"/>
        </w:rPr>
        <w:t>充分利用信息化的手段加强学科建设的管理和服务工作，</w:t>
      </w:r>
      <w:r>
        <w:rPr>
          <w:rFonts w:ascii="仿宋" w:hAnsi="仿宋" w:eastAsia="仿宋" w:cs="仿宋"/>
          <w:sz w:val="32"/>
          <w:szCs w:val="32"/>
        </w:rPr>
        <w:t>改革不适应信息化的传统管理</w:t>
      </w:r>
      <w:r>
        <w:rPr>
          <w:rFonts w:hint="eastAsia" w:ascii="仿宋" w:hAnsi="仿宋" w:eastAsia="仿宋" w:cs="仿宋"/>
          <w:sz w:val="32"/>
          <w:szCs w:val="32"/>
        </w:rPr>
        <w:t>模式</w:t>
      </w:r>
      <w:r>
        <w:rPr>
          <w:rFonts w:ascii="仿宋" w:hAnsi="仿宋" w:eastAsia="仿宋" w:cs="仿宋"/>
          <w:sz w:val="32"/>
          <w:szCs w:val="32"/>
        </w:rPr>
        <w:t>和运行机制</w:t>
      </w:r>
      <w:r>
        <w:rPr>
          <w:rFonts w:hint="eastAsia" w:ascii="仿宋" w:hAnsi="仿宋" w:eastAsia="仿宋" w:cs="仿宋"/>
          <w:sz w:val="32"/>
          <w:szCs w:val="32"/>
        </w:rPr>
        <w:t>，提高学科管理部门和校内各学科建设单位的联系与沟通效率。加强校内学科数据采集的全面性与及时性，利用数据</w:t>
      </w:r>
      <w:r>
        <w:rPr>
          <w:rFonts w:ascii="仿宋" w:hAnsi="仿宋" w:eastAsia="仿宋" w:cs="仿宋"/>
          <w:sz w:val="32"/>
          <w:szCs w:val="32"/>
        </w:rPr>
        <w:t>提高管理决策的科学性，</w:t>
      </w:r>
      <w:r>
        <w:rPr>
          <w:rFonts w:hint="eastAsia" w:ascii="仿宋" w:hAnsi="仿宋" w:eastAsia="仿宋" w:cs="仿宋"/>
          <w:sz w:val="32"/>
          <w:szCs w:val="32"/>
        </w:rPr>
        <w:t>从而</w:t>
      </w:r>
      <w:r>
        <w:rPr>
          <w:rFonts w:ascii="仿宋" w:hAnsi="仿宋" w:eastAsia="仿宋" w:cs="仿宋"/>
          <w:sz w:val="32"/>
          <w:szCs w:val="32"/>
        </w:rPr>
        <w:t>提高管理水平和效率</w:t>
      </w:r>
      <w:r>
        <w:rPr>
          <w:rFonts w:hint="eastAsia" w:ascii="仿宋" w:hAnsi="仿宋" w:eastAsia="仿宋" w:cs="仿宋"/>
          <w:sz w:val="32"/>
          <w:szCs w:val="32"/>
        </w:rPr>
        <w:t>以及</w:t>
      </w:r>
      <w:r>
        <w:rPr>
          <w:rFonts w:ascii="仿宋" w:hAnsi="仿宋" w:eastAsia="仿宋" w:cs="仿宋"/>
          <w:sz w:val="32"/>
          <w:szCs w:val="32"/>
        </w:rPr>
        <w:t>提高服务质量</w:t>
      </w:r>
      <w:r>
        <w:rPr>
          <w:rFonts w:hint="eastAsia" w:ascii="仿宋" w:hAnsi="仿宋" w:eastAsia="仿宋" w:cs="仿宋"/>
          <w:sz w:val="32"/>
          <w:szCs w:val="32"/>
        </w:rPr>
        <w:t>。建立学科建设数据支持系统与学科信息数据库，汇集国内外各类学科数据与信息资源，为相关学科的建设提供信息咨询服务。</w:t>
      </w:r>
    </w:p>
    <w:p>
      <w:pPr>
        <w:spacing w:line="540" w:lineRule="exact"/>
        <w:ind w:left="640"/>
        <w:rPr>
          <w:rFonts w:ascii="黑体" w:hAnsi="黑体" w:eastAsia="黑体" w:cs="黑体"/>
          <w:sz w:val="32"/>
          <w:szCs w:val="32"/>
        </w:rPr>
      </w:pPr>
    </w:p>
    <w:p>
      <w:pPr>
        <w:widowControl/>
        <w:jc w:val="left"/>
        <w:rPr>
          <w:rFonts w:ascii="仿宋" w:hAnsi="仿宋" w:eastAsia="仿宋" w:cs="仿宋"/>
          <w:sz w:val="32"/>
          <w:szCs w:val="32"/>
        </w:rPr>
      </w:pPr>
    </w:p>
    <w:p>
      <w:pPr>
        <w:spacing w:line="540" w:lineRule="exact"/>
        <w:ind w:left="640"/>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黑体-简">
    <w:altName w:val="黑体"/>
    <w:panose1 w:val="02000000000000000000"/>
    <w:charset w:val="86"/>
    <w:family w:val="auto"/>
    <w:pitch w:val="default"/>
    <w:sig w:usb0="00000000" w:usb1="00000000" w:usb2="00000000" w:usb3="00000000" w:csb0="203E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26CEB"/>
    <w:multiLevelType w:val="singleLevel"/>
    <w:tmpl w:val="A3626CEB"/>
    <w:lvl w:ilvl="0" w:tentative="0">
      <w:start w:val="1"/>
      <w:numFmt w:val="chineseCounting"/>
      <w:suff w:val="nothing"/>
      <w:lvlText w:val="%1、"/>
      <w:lvlJc w:val="left"/>
      <w:rPr>
        <w:rFonts w:hint="eastAsia"/>
      </w:rPr>
    </w:lvl>
  </w:abstractNum>
  <w:abstractNum w:abstractNumId="1">
    <w:nsid w:val="299E4835"/>
    <w:multiLevelType w:val="multilevel"/>
    <w:tmpl w:val="299E4835"/>
    <w:lvl w:ilvl="0" w:tentative="0">
      <w:start w:val="1"/>
      <w:numFmt w:val="japaneseCounting"/>
      <w:lvlText w:val="（%1）"/>
      <w:lvlJc w:val="left"/>
      <w:pPr>
        <w:ind w:left="172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87"/>
    <w:rsid w:val="000002F5"/>
    <w:rsid w:val="00004E4F"/>
    <w:rsid w:val="0000625B"/>
    <w:rsid w:val="0001588F"/>
    <w:rsid w:val="0002013D"/>
    <w:rsid w:val="0002067A"/>
    <w:rsid w:val="00021DC2"/>
    <w:rsid w:val="000302CB"/>
    <w:rsid w:val="00030419"/>
    <w:rsid w:val="00032B83"/>
    <w:rsid w:val="000424BB"/>
    <w:rsid w:val="00043086"/>
    <w:rsid w:val="00043B15"/>
    <w:rsid w:val="00050FCB"/>
    <w:rsid w:val="00053F5C"/>
    <w:rsid w:val="00054792"/>
    <w:rsid w:val="00054C5F"/>
    <w:rsid w:val="00054E53"/>
    <w:rsid w:val="00055A25"/>
    <w:rsid w:val="00057E14"/>
    <w:rsid w:val="00057E56"/>
    <w:rsid w:val="000619D6"/>
    <w:rsid w:val="00062F71"/>
    <w:rsid w:val="00063F37"/>
    <w:rsid w:val="00064DB3"/>
    <w:rsid w:val="0007318A"/>
    <w:rsid w:val="00073942"/>
    <w:rsid w:val="00077EFE"/>
    <w:rsid w:val="00080C7E"/>
    <w:rsid w:val="000826EE"/>
    <w:rsid w:val="00084D60"/>
    <w:rsid w:val="000862A9"/>
    <w:rsid w:val="0009062C"/>
    <w:rsid w:val="00091DAA"/>
    <w:rsid w:val="00093BAE"/>
    <w:rsid w:val="00096620"/>
    <w:rsid w:val="00096885"/>
    <w:rsid w:val="00096DA4"/>
    <w:rsid w:val="000A1801"/>
    <w:rsid w:val="000A3DA8"/>
    <w:rsid w:val="000A410F"/>
    <w:rsid w:val="000A4E3A"/>
    <w:rsid w:val="000A60E3"/>
    <w:rsid w:val="000B23F6"/>
    <w:rsid w:val="000C0229"/>
    <w:rsid w:val="000C0C17"/>
    <w:rsid w:val="000C2A1F"/>
    <w:rsid w:val="000C2F03"/>
    <w:rsid w:val="000C388F"/>
    <w:rsid w:val="000C59D3"/>
    <w:rsid w:val="000C6829"/>
    <w:rsid w:val="000C71DB"/>
    <w:rsid w:val="000C7E81"/>
    <w:rsid w:val="000D012C"/>
    <w:rsid w:val="000D4EC0"/>
    <w:rsid w:val="000E0001"/>
    <w:rsid w:val="000E2756"/>
    <w:rsid w:val="000E3324"/>
    <w:rsid w:val="000E3669"/>
    <w:rsid w:val="000E40E3"/>
    <w:rsid w:val="000E7E50"/>
    <w:rsid w:val="000F0CC4"/>
    <w:rsid w:val="000F3D24"/>
    <w:rsid w:val="000F3FA8"/>
    <w:rsid w:val="000F7F5F"/>
    <w:rsid w:val="00103875"/>
    <w:rsid w:val="00105F89"/>
    <w:rsid w:val="001103A8"/>
    <w:rsid w:val="00114483"/>
    <w:rsid w:val="00115817"/>
    <w:rsid w:val="001202BB"/>
    <w:rsid w:val="001204FD"/>
    <w:rsid w:val="00123018"/>
    <w:rsid w:val="001233FE"/>
    <w:rsid w:val="00125DA4"/>
    <w:rsid w:val="001310ED"/>
    <w:rsid w:val="00131525"/>
    <w:rsid w:val="00135FED"/>
    <w:rsid w:val="0013704C"/>
    <w:rsid w:val="00137B31"/>
    <w:rsid w:val="00140EB6"/>
    <w:rsid w:val="00144D19"/>
    <w:rsid w:val="00147423"/>
    <w:rsid w:val="00150053"/>
    <w:rsid w:val="00150483"/>
    <w:rsid w:val="00154EAB"/>
    <w:rsid w:val="00156DA2"/>
    <w:rsid w:val="00160ED3"/>
    <w:rsid w:val="0016112A"/>
    <w:rsid w:val="0016121F"/>
    <w:rsid w:val="00164547"/>
    <w:rsid w:val="001723FD"/>
    <w:rsid w:val="001742D3"/>
    <w:rsid w:val="001769E2"/>
    <w:rsid w:val="001815FD"/>
    <w:rsid w:val="001829C0"/>
    <w:rsid w:val="00183078"/>
    <w:rsid w:val="00185905"/>
    <w:rsid w:val="00186E81"/>
    <w:rsid w:val="00186E82"/>
    <w:rsid w:val="00190A86"/>
    <w:rsid w:val="00190B14"/>
    <w:rsid w:val="0019563F"/>
    <w:rsid w:val="00196426"/>
    <w:rsid w:val="001978FF"/>
    <w:rsid w:val="001A2899"/>
    <w:rsid w:val="001A3B44"/>
    <w:rsid w:val="001A3E91"/>
    <w:rsid w:val="001A4C5D"/>
    <w:rsid w:val="001A646C"/>
    <w:rsid w:val="001B043B"/>
    <w:rsid w:val="001B0A82"/>
    <w:rsid w:val="001B1162"/>
    <w:rsid w:val="001B44E3"/>
    <w:rsid w:val="001B4E80"/>
    <w:rsid w:val="001C1018"/>
    <w:rsid w:val="001C1D81"/>
    <w:rsid w:val="001D072A"/>
    <w:rsid w:val="001D30B1"/>
    <w:rsid w:val="001D47B7"/>
    <w:rsid w:val="001D5C3A"/>
    <w:rsid w:val="001E0136"/>
    <w:rsid w:val="001E4E87"/>
    <w:rsid w:val="001F6DEB"/>
    <w:rsid w:val="0020282A"/>
    <w:rsid w:val="00204479"/>
    <w:rsid w:val="002047F1"/>
    <w:rsid w:val="00204F15"/>
    <w:rsid w:val="00210470"/>
    <w:rsid w:val="002142E5"/>
    <w:rsid w:val="0022441F"/>
    <w:rsid w:val="002245F9"/>
    <w:rsid w:val="00225A60"/>
    <w:rsid w:val="00225DEF"/>
    <w:rsid w:val="0023055A"/>
    <w:rsid w:val="00230830"/>
    <w:rsid w:val="00231CCE"/>
    <w:rsid w:val="002325EF"/>
    <w:rsid w:val="00233653"/>
    <w:rsid w:val="00233C96"/>
    <w:rsid w:val="00234F9C"/>
    <w:rsid w:val="00235606"/>
    <w:rsid w:val="00235C5D"/>
    <w:rsid w:val="00241639"/>
    <w:rsid w:val="00242F9C"/>
    <w:rsid w:val="00250B36"/>
    <w:rsid w:val="002539F7"/>
    <w:rsid w:val="00260246"/>
    <w:rsid w:val="00262416"/>
    <w:rsid w:val="00263834"/>
    <w:rsid w:val="002649C5"/>
    <w:rsid w:val="00270A06"/>
    <w:rsid w:val="00271959"/>
    <w:rsid w:val="00271C5C"/>
    <w:rsid w:val="00273A5C"/>
    <w:rsid w:val="002743D9"/>
    <w:rsid w:val="002773E9"/>
    <w:rsid w:val="002805FD"/>
    <w:rsid w:val="0028224C"/>
    <w:rsid w:val="00290E0C"/>
    <w:rsid w:val="00293B50"/>
    <w:rsid w:val="002948F3"/>
    <w:rsid w:val="002A19AA"/>
    <w:rsid w:val="002A2487"/>
    <w:rsid w:val="002A2B82"/>
    <w:rsid w:val="002A56F6"/>
    <w:rsid w:val="002A58F3"/>
    <w:rsid w:val="002A62F4"/>
    <w:rsid w:val="002A6921"/>
    <w:rsid w:val="002B0101"/>
    <w:rsid w:val="002B1D66"/>
    <w:rsid w:val="002B7302"/>
    <w:rsid w:val="002B7BB0"/>
    <w:rsid w:val="002C055F"/>
    <w:rsid w:val="002C3D2C"/>
    <w:rsid w:val="002C4506"/>
    <w:rsid w:val="002C7118"/>
    <w:rsid w:val="002D2903"/>
    <w:rsid w:val="002D4988"/>
    <w:rsid w:val="002D57E4"/>
    <w:rsid w:val="002E278C"/>
    <w:rsid w:val="002E2A53"/>
    <w:rsid w:val="002E3334"/>
    <w:rsid w:val="002E3418"/>
    <w:rsid w:val="002E3F96"/>
    <w:rsid w:val="002E4942"/>
    <w:rsid w:val="002E64FB"/>
    <w:rsid w:val="002E68AC"/>
    <w:rsid w:val="002F0714"/>
    <w:rsid w:val="002F4373"/>
    <w:rsid w:val="00302E5B"/>
    <w:rsid w:val="003054F9"/>
    <w:rsid w:val="00307A97"/>
    <w:rsid w:val="003109B9"/>
    <w:rsid w:val="00310A28"/>
    <w:rsid w:val="00312CB8"/>
    <w:rsid w:val="00312EDD"/>
    <w:rsid w:val="003238B4"/>
    <w:rsid w:val="00326E65"/>
    <w:rsid w:val="00331D1D"/>
    <w:rsid w:val="00332C1F"/>
    <w:rsid w:val="00335BFE"/>
    <w:rsid w:val="00336D98"/>
    <w:rsid w:val="00337A57"/>
    <w:rsid w:val="00341A3B"/>
    <w:rsid w:val="00344AA0"/>
    <w:rsid w:val="00350692"/>
    <w:rsid w:val="003541F8"/>
    <w:rsid w:val="00354B11"/>
    <w:rsid w:val="00360AA0"/>
    <w:rsid w:val="00361EA5"/>
    <w:rsid w:val="00365CC2"/>
    <w:rsid w:val="00371576"/>
    <w:rsid w:val="0037440B"/>
    <w:rsid w:val="0037570C"/>
    <w:rsid w:val="003765D9"/>
    <w:rsid w:val="00376AC9"/>
    <w:rsid w:val="00376F06"/>
    <w:rsid w:val="00376F9D"/>
    <w:rsid w:val="00381C8D"/>
    <w:rsid w:val="003870F7"/>
    <w:rsid w:val="003873E6"/>
    <w:rsid w:val="00395070"/>
    <w:rsid w:val="003A0639"/>
    <w:rsid w:val="003A126D"/>
    <w:rsid w:val="003A523C"/>
    <w:rsid w:val="003A5F1C"/>
    <w:rsid w:val="003A767E"/>
    <w:rsid w:val="003B49AF"/>
    <w:rsid w:val="003B6B7A"/>
    <w:rsid w:val="003C27EA"/>
    <w:rsid w:val="003C334F"/>
    <w:rsid w:val="003C484E"/>
    <w:rsid w:val="003C573B"/>
    <w:rsid w:val="003D1F15"/>
    <w:rsid w:val="003D2884"/>
    <w:rsid w:val="003D407C"/>
    <w:rsid w:val="003E0EA3"/>
    <w:rsid w:val="003E1F4A"/>
    <w:rsid w:val="003E63DE"/>
    <w:rsid w:val="003F0BFA"/>
    <w:rsid w:val="003F1CCE"/>
    <w:rsid w:val="003F232A"/>
    <w:rsid w:val="003F2F3A"/>
    <w:rsid w:val="003F3953"/>
    <w:rsid w:val="00403692"/>
    <w:rsid w:val="00404A82"/>
    <w:rsid w:val="00404B73"/>
    <w:rsid w:val="00412764"/>
    <w:rsid w:val="00413221"/>
    <w:rsid w:val="00415739"/>
    <w:rsid w:val="00415F32"/>
    <w:rsid w:val="00416854"/>
    <w:rsid w:val="00416B1A"/>
    <w:rsid w:val="00416BE8"/>
    <w:rsid w:val="00417DBA"/>
    <w:rsid w:val="00424F02"/>
    <w:rsid w:val="004260C9"/>
    <w:rsid w:val="00426E8A"/>
    <w:rsid w:val="0043374C"/>
    <w:rsid w:val="00434BD4"/>
    <w:rsid w:val="00436DA1"/>
    <w:rsid w:val="00440A3B"/>
    <w:rsid w:val="004437D6"/>
    <w:rsid w:val="00443854"/>
    <w:rsid w:val="004443C9"/>
    <w:rsid w:val="00446364"/>
    <w:rsid w:val="004517DF"/>
    <w:rsid w:val="00453615"/>
    <w:rsid w:val="0045460A"/>
    <w:rsid w:val="00454EFB"/>
    <w:rsid w:val="00455377"/>
    <w:rsid w:val="00461FA9"/>
    <w:rsid w:val="004628C2"/>
    <w:rsid w:val="00463B04"/>
    <w:rsid w:val="0046763A"/>
    <w:rsid w:val="0047031B"/>
    <w:rsid w:val="0047131C"/>
    <w:rsid w:val="00471AF6"/>
    <w:rsid w:val="0047454A"/>
    <w:rsid w:val="0048190C"/>
    <w:rsid w:val="004862E0"/>
    <w:rsid w:val="0048723F"/>
    <w:rsid w:val="00487A9D"/>
    <w:rsid w:val="00490DC2"/>
    <w:rsid w:val="00495DDC"/>
    <w:rsid w:val="00497D91"/>
    <w:rsid w:val="004A45BB"/>
    <w:rsid w:val="004A528F"/>
    <w:rsid w:val="004B1191"/>
    <w:rsid w:val="004C0491"/>
    <w:rsid w:val="004C0B6B"/>
    <w:rsid w:val="004C19DE"/>
    <w:rsid w:val="004D21AE"/>
    <w:rsid w:val="004D3B66"/>
    <w:rsid w:val="004D403C"/>
    <w:rsid w:val="004D46CE"/>
    <w:rsid w:val="004D5527"/>
    <w:rsid w:val="004D5CB5"/>
    <w:rsid w:val="004D60D8"/>
    <w:rsid w:val="004E23D9"/>
    <w:rsid w:val="004F3959"/>
    <w:rsid w:val="00506E90"/>
    <w:rsid w:val="00507573"/>
    <w:rsid w:val="005104F0"/>
    <w:rsid w:val="005118DF"/>
    <w:rsid w:val="00513BCD"/>
    <w:rsid w:val="005218FD"/>
    <w:rsid w:val="0052300E"/>
    <w:rsid w:val="00523D54"/>
    <w:rsid w:val="005252F3"/>
    <w:rsid w:val="0053208B"/>
    <w:rsid w:val="00533560"/>
    <w:rsid w:val="00545A60"/>
    <w:rsid w:val="005460B9"/>
    <w:rsid w:val="0054763D"/>
    <w:rsid w:val="00547ADE"/>
    <w:rsid w:val="00550FCB"/>
    <w:rsid w:val="00552064"/>
    <w:rsid w:val="005545D3"/>
    <w:rsid w:val="00556A57"/>
    <w:rsid w:val="00557237"/>
    <w:rsid w:val="00557C09"/>
    <w:rsid w:val="00565A18"/>
    <w:rsid w:val="00565AE7"/>
    <w:rsid w:val="00565E31"/>
    <w:rsid w:val="00570DF0"/>
    <w:rsid w:val="005724BA"/>
    <w:rsid w:val="005801F1"/>
    <w:rsid w:val="005804F9"/>
    <w:rsid w:val="00581B44"/>
    <w:rsid w:val="00581F79"/>
    <w:rsid w:val="00586752"/>
    <w:rsid w:val="00587DB1"/>
    <w:rsid w:val="005919CD"/>
    <w:rsid w:val="00594A5C"/>
    <w:rsid w:val="00594FE1"/>
    <w:rsid w:val="00596C3F"/>
    <w:rsid w:val="00596F5F"/>
    <w:rsid w:val="005977C4"/>
    <w:rsid w:val="005A7925"/>
    <w:rsid w:val="005B032A"/>
    <w:rsid w:val="005B0FD3"/>
    <w:rsid w:val="005B1B77"/>
    <w:rsid w:val="005B708C"/>
    <w:rsid w:val="005C1DD6"/>
    <w:rsid w:val="005C2B4E"/>
    <w:rsid w:val="005C3C09"/>
    <w:rsid w:val="005D076C"/>
    <w:rsid w:val="005D102B"/>
    <w:rsid w:val="005D4872"/>
    <w:rsid w:val="005D65ED"/>
    <w:rsid w:val="005E14CE"/>
    <w:rsid w:val="005E299A"/>
    <w:rsid w:val="005E3CF7"/>
    <w:rsid w:val="005E4B9E"/>
    <w:rsid w:val="005E5C34"/>
    <w:rsid w:val="005F03CA"/>
    <w:rsid w:val="005F3E6A"/>
    <w:rsid w:val="005F446C"/>
    <w:rsid w:val="005F719E"/>
    <w:rsid w:val="005F7BB6"/>
    <w:rsid w:val="005F7CBB"/>
    <w:rsid w:val="0060182A"/>
    <w:rsid w:val="006028FC"/>
    <w:rsid w:val="0060598D"/>
    <w:rsid w:val="006072A7"/>
    <w:rsid w:val="0060777A"/>
    <w:rsid w:val="006104E9"/>
    <w:rsid w:val="0061260B"/>
    <w:rsid w:val="00614B23"/>
    <w:rsid w:val="0061692D"/>
    <w:rsid w:val="006173A8"/>
    <w:rsid w:val="00621727"/>
    <w:rsid w:val="0062219E"/>
    <w:rsid w:val="00622CC1"/>
    <w:rsid w:val="00625E2D"/>
    <w:rsid w:val="00626538"/>
    <w:rsid w:val="00631FBF"/>
    <w:rsid w:val="00634318"/>
    <w:rsid w:val="0063459D"/>
    <w:rsid w:val="00634E0C"/>
    <w:rsid w:val="00635103"/>
    <w:rsid w:val="00637D48"/>
    <w:rsid w:val="006405A9"/>
    <w:rsid w:val="00641451"/>
    <w:rsid w:val="00643084"/>
    <w:rsid w:val="006472AB"/>
    <w:rsid w:val="00647453"/>
    <w:rsid w:val="006517DA"/>
    <w:rsid w:val="006526A3"/>
    <w:rsid w:val="00652E65"/>
    <w:rsid w:val="006541DC"/>
    <w:rsid w:val="00656920"/>
    <w:rsid w:val="00662BBA"/>
    <w:rsid w:val="00663C46"/>
    <w:rsid w:val="00673A99"/>
    <w:rsid w:val="00673C54"/>
    <w:rsid w:val="00675142"/>
    <w:rsid w:val="00680F6F"/>
    <w:rsid w:val="006830BD"/>
    <w:rsid w:val="006850F9"/>
    <w:rsid w:val="006868FC"/>
    <w:rsid w:val="00691EC4"/>
    <w:rsid w:val="00696EBE"/>
    <w:rsid w:val="00697D42"/>
    <w:rsid w:val="006A0268"/>
    <w:rsid w:val="006A0B68"/>
    <w:rsid w:val="006A198A"/>
    <w:rsid w:val="006A238D"/>
    <w:rsid w:val="006A23B3"/>
    <w:rsid w:val="006A45B0"/>
    <w:rsid w:val="006A7619"/>
    <w:rsid w:val="006B0898"/>
    <w:rsid w:val="006B16CA"/>
    <w:rsid w:val="006B339B"/>
    <w:rsid w:val="006B4D1D"/>
    <w:rsid w:val="006B5A54"/>
    <w:rsid w:val="006C02C7"/>
    <w:rsid w:val="006C2DFF"/>
    <w:rsid w:val="006C361B"/>
    <w:rsid w:val="006C3673"/>
    <w:rsid w:val="006C75AE"/>
    <w:rsid w:val="006D016B"/>
    <w:rsid w:val="006D6688"/>
    <w:rsid w:val="006D7521"/>
    <w:rsid w:val="006E0893"/>
    <w:rsid w:val="006E18A1"/>
    <w:rsid w:val="006E38CF"/>
    <w:rsid w:val="006E415C"/>
    <w:rsid w:val="006E5BB5"/>
    <w:rsid w:val="006F0023"/>
    <w:rsid w:val="006F4728"/>
    <w:rsid w:val="006F58C2"/>
    <w:rsid w:val="006F7E0D"/>
    <w:rsid w:val="00700CDD"/>
    <w:rsid w:val="00700D9A"/>
    <w:rsid w:val="007107F2"/>
    <w:rsid w:val="00710B99"/>
    <w:rsid w:val="00720FC2"/>
    <w:rsid w:val="0072235E"/>
    <w:rsid w:val="00722EF8"/>
    <w:rsid w:val="0072465F"/>
    <w:rsid w:val="007250EF"/>
    <w:rsid w:val="00726371"/>
    <w:rsid w:val="00731E47"/>
    <w:rsid w:val="00737C29"/>
    <w:rsid w:val="0074151F"/>
    <w:rsid w:val="00746AAA"/>
    <w:rsid w:val="007501F1"/>
    <w:rsid w:val="007531F3"/>
    <w:rsid w:val="007565A2"/>
    <w:rsid w:val="00756BE7"/>
    <w:rsid w:val="00756F1C"/>
    <w:rsid w:val="00757473"/>
    <w:rsid w:val="007617EF"/>
    <w:rsid w:val="007624D4"/>
    <w:rsid w:val="00775F50"/>
    <w:rsid w:val="00782153"/>
    <w:rsid w:val="00783C44"/>
    <w:rsid w:val="00787260"/>
    <w:rsid w:val="00792F24"/>
    <w:rsid w:val="007960B5"/>
    <w:rsid w:val="007A5A41"/>
    <w:rsid w:val="007B6D55"/>
    <w:rsid w:val="007C0630"/>
    <w:rsid w:val="007C2A6F"/>
    <w:rsid w:val="007D231C"/>
    <w:rsid w:val="007D3889"/>
    <w:rsid w:val="007D3A21"/>
    <w:rsid w:val="007D46C3"/>
    <w:rsid w:val="007D4783"/>
    <w:rsid w:val="007D5AD8"/>
    <w:rsid w:val="007E2E52"/>
    <w:rsid w:val="007E569E"/>
    <w:rsid w:val="007E5A68"/>
    <w:rsid w:val="007E6D4E"/>
    <w:rsid w:val="007F1A6F"/>
    <w:rsid w:val="007F42E1"/>
    <w:rsid w:val="007F5594"/>
    <w:rsid w:val="007F6F90"/>
    <w:rsid w:val="007F7755"/>
    <w:rsid w:val="0080054A"/>
    <w:rsid w:val="0080151A"/>
    <w:rsid w:val="0080271C"/>
    <w:rsid w:val="00802F02"/>
    <w:rsid w:val="00811DE4"/>
    <w:rsid w:val="0081252A"/>
    <w:rsid w:val="00812BA6"/>
    <w:rsid w:val="00812FAD"/>
    <w:rsid w:val="008165F2"/>
    <w:rsid w:val="008167A1"/>
    <w:rsid w:val="00816C28"/>
    <w:rsid w:val="00820B3A"/>
    <w:rsid w:val="008224DE"/>
    <w:rsid w:val="00824B52"/>
    <w:rsid w:val="008256D7"/>
    <w:rsid w:val="008257DF"/>
    <w:rsid w:val="00827EDB"/>
    <w:rsid w:val="00832221"/>
    <w:rsid w:val="0083265D"/>
    <w:rsid w:val="00832FDB"/>
    <w:rsid w:val="008346EA"/>
    <w:rsid w:val="008479A2"/>
    <w:rsid w:val="0085246D"/>
    <w:rsid w:val="008538E7"/>
    <w:rsid w:val="00864677"/>
    <w:rsid w:val="00867FE3"/>
    <w:rsid w:val="008773ED"/>
    <w:rsid w:val="008868CC"/>
    <w:rsid w:val="00892FFC"/>
    <w:rsid w:val="0089301C"/>
    <w:rsid w:val="00894C0F"/>
    <w:rsid w:val="00897C42"/>
    <w:rsid w:val="00897F6E"/>
    <w:rsid w:val="008A3577"/>
    <w:rsid w:val="008A57C5"/>
    <w:rsid w:val="008A5A7D"/>
    <w:rsid w:val="008A5DAB"/>
    <w:rsid w:val="008A704C"/>
    <w:rsid w:val="008B038C"/>
    <w:rsid w:val="008B1BD9"/>
    <w:rsid w:val="008B29C7"/>
    <w:rsid w:val="008B2C22"/>
    <w:rsid w:val="008B40EE"/>
    <w:rsid w:val="008B5CBD"/>
    <w:rsid w:val="008C381F"/>
    <w:rsid w:val="008C4271"/>
    <w:rsid w:val="008C6B31"/>
    <w:rsid w:val="008C76D6"/>
    <w:rsid w:val="008C7D79"/>
    <w:rsid w:val="008D2357"/>
    <w:rsid w:val="008D4405"/>
    <w:rsid w:val="008D5D38"/>
    <w:rsid w:val="008E0D29"/>
    <w:rsid w:val="008E1641"/>
    <w:rsid w:val="008F249B"/>
    <w:rsid w:val="008F32CA"/>
    <w:rsid w:val="008F7E09"/>
    <w:rsid w:val="00900D12"/>
    <w:rsid w:val="00901BD4"/>
    <w:rsid w:val="00901ED8"/>
    <w:rsid w:val="009042A5"/>
    <w:rsid w:val="009118FC"/>
    <w:rsid w:val="00914C02"/>
    <w:rsid w:val="00915DC0"/>
    <w:rsid w:val="00916CD5"/>
    <w:rsid w:val="0092129A"/>
    <w:rsid w:val="00922658"/>
    <w:rsid w:val="00924000"/>
    <w:rsid w:val="00925591"/>
    <w:rsid w:val="009270AA"/>
    <w:rsid w:val="00927FD5"/>
    <w:rsid w:val="00930853"/>
    <w:rsid w:val="00935C2A"/>
    <w:rsid w:val="00941293"/>
    <w:rsid w:val="009428D7"/>
    <w:rsid w:val="00944C78"/>
    <w:rsid w:val="00946532"/>
    <w:rsid w:val="00951CD4"/>
    <w:rsid w:val="0095434B"/>
    <w:rsid w:val="009605A5"/>
    <w:rsid w:val="0096230B"/>
    <w:rsid w:val="009654D7"/>
    <w:rsid w:val="00966255"/>
    <w:rsid w:val="00980C13"/>
    <w:rsid w:val="00986C09"/>
    <w:rsid w:val="0099061B"/>
    <w:rsid w:val="009915CE"/>
    <w:rsid w:val="00991BA4"/>
    <w:rsid w:val="00992BC4"/>
    <w:rsid w:val="0099312F"/>
    <w:rsid w:val="00995A57"/>
    <w:rsid w:val="0099715C"/>
    <w:rsid w:val="009A45B4"/>
    <w:rsid w:val="009B006D"/>
    <w:rsid w:val="009B21BE"/>
    <w:rsid w:val="009B3640"/>
    <w:rsid w:val="009B396D"/>
    <w:rsid w:val="009C20B7"/>
    <w:rsid w:val="009C5B84"/>
    <w:rsid w:val="009C6CCD"/>
    <w:rsid w:val="009D7CB7"/>
    <w:rsid w:val="009D7D41"/>
    <w:rsid w:val="009E2A2E"/>
    <w:rsid w:val="009E3227"/>
    <w:rsid w:val="009F0391"/>
    <w:rsid w:val="009F0B86"/>
    <w:rsid w:val="009F46FA"/>
    <w:rsid w:val="00A001EF"/>
    <w:rsid w:val="00A02421"/>
    <w:rsid w:val="00A101C8"/>
    <w:rsid w:val="00A13CE0"/>
    <w:rsid w:val="00A149C6"/>
    <w:rsid w:val="00A21AC9"/>
    <w:rsid w:val="00A21C78"/>
    <w:rsid w:val="00A24B3A"/>
    <w:rsid w:val="00A278B4"/>
    <w:rsid w:val="00A31B2C"/>
    <w:rsid w:val="00A3351B"/>
    <w:rsid w:val="00A37A66"/>
    <w:rsid w:val="00A4011A"/>
    <w:rsid w:val="00A4113D"/>
    <w:rsid w:val="00A420EF"/>
    <w:rsid w:val="00A43167"/>
    <w:rsid w:val="00A4438D"/>
    <w:rsid w:val="00A510CF"/>
    <w:rsid w:val="00A57140"/>
    <w:rsid w:val="00A61047"/>
    <w:rsid w:val="00A62197"/>
    <w:rsid w:val="00A63111"/>
    <w:rsid w:val="00A6659A"/>
    <w:rsid w:val="00A676AC"/>
    <w:rsid w:val="00A737A0"/>
    <w:rsid w:val="00A769B4"/>
    <w:rsid w:val="00A80673"/>
    <w:rsid w:val="00A81ACA"/>
    <w:rsid w:val="00A8399E"/>
    <w:rsid w:val="00A84927"/>
    <w:rsid w:val="00A90B61"/>
    <w:rsid w:val="00A940DA"/>
    <w:rsid w:val="00A975C9"/>
    <w:rsid w:val="00A979CD"/>
    <w:rsid w:val="00AA2E34"/>
    <w:rsid w:val="00AA4990"/>
    <w:rsid w:val="00AB36D7"/>
    <w:rsid w:val="00AB5468"/>
    <w:rsid w:val="00AB5F2D"/>
    <w:rsid w:val="00AB678B"/>
    <w:rsid w:val="00AC5E5D"/>
    <w:rsid w:val="00AD18F3"/>
    <w:rsid w:val="00AD2054"/>
    <w:rsid w:val="00AE7BD0"/>
    <w:rsid w:val="00AF16D6"/>
    <w:rsid w:val="00AF2DC7"/>
    <w:rsid w:val="00AF3ED1"/>
    <w:rsid w:val="00AF4BD9"/>
    <w:rsid w:val="00AF70AC"/>
    <w:rsid w:val="00AF7C7A"/>
    <w:rsid w:val="00AF7F0C"/>
    <w:rsid w:val="00B02130"/>
    <w:rsid w:val="00B027B3"/>
    <w:rsid w:val="00B05EE7"/>
    <w:rsid w:val="00B06D12"/>
    <w:rsid w:val="00B12B85"/>
    <w:rsid w:val="00B140C6"/>
    <w:rsid w:val="00B15708"/>
    <w:rsid w:val="00B157DB"/>
    <w:rsid w:val="00B24806"/>
    <w:rsid w:val="00B24F96"/>
    <w:rsid w:val="00B2745F"/>
    <w:rsid w:val="00B30B80"/>
    <w:rsid w:val="00B30F2E"/>
    <w:rsid w:val="00B32AAF"/>
    <w:rsid w:val="00B356A6"/>
    <w:rsid w:val="00B37DA3"/>
    <w:rsid w:val="00B43E14"/>
    <w:rsid w:val="00B50AFE"/>
    <w:rsid w:val="00B55949"/>
    <w:rsid w:val="00B571E9"/>
    <w:rsid w:val="00B75A70"/>
    <w:rsid w:val="00B761D0"/>
    <w:rsid w:val="00B809AF"/>
    <w:rsid w:val="00B83EF8"/>
    <w:rsid w:val="00B87EC0"/>
    <w:rsid w:val="00B9070A"/>
    <w:rsid w:val="00B91586"/>
    <w:rsid w:val="00B9169D"/>
    <w:rsid w:val="00B93DA3"/>
    <w:rsid w:val="00BA0B72"/>
    <w:rsid w:val="00BA1A98"/>
    <w:rsid w:val="00BA3E5C"/>
    <w:rsid w:val="00BB1AD6"/>
    <w:rsid w:val="00BB5855"/>
    <w:rsid w:val="00BC0B0E"/>
    <w:rsid w:val="00BC2DED"/>
    <w:rsid w:val="00BC556E"/>
    <w:rsid w:val="00BD0B47"/>
    <w:rsid w:val="00BD68EB"/>
    <w:rsid w:val="00BF105F"/>
    <w:rsid w:val="00BF1C83"/>
    <w:rsid w:val="00BF3C96"/>
    <w:rsid w:val="00BF514A"/>
    <w:rsid w:val="00BF6DEA"/>
    <w:rsid w:val="00C00262"/>
    <w:rsid w:val="00C04164"/>
    <w:rsid w:val="00C10229"/>
    <w:rsid w:val="00C16726"/>
    <w:rsid w:val="00C17DE9"/>
    <w:rsid w:val="00C246B9"/>
    <w:rsid w:val="00C30B04"/>
    <w:rsid w:val="00C32D81"/>
    <w:rsid w:val="00C34952"/>
    <w:rsid w:val="00C379B8"/>
    <w:rsid w:val="00C45914"/>
    <w:rsid w:val="00C46466"/>
    <w:rsid w:val="00C46852"/>
    <w:rsid w:val="00C47E22"/>
    <w:rsid w:val="00C52848"/>
    <w:rsid w:val="00C54AB8"/>
    <w:rsid w:val="00C55AC2"/>
    <w:rsid w:val="00C568C0"/>
    <w:rsid w:val="00C66A29"/>
    <w:rsid w:val="00C66D29"/>
    <w:rsid w:val="00C71E51"/>
    <w:rsid w:val="00C76F5B"/>
    <w:rsid w:val="00C77997"/>
    <w:rsid w:val="00C80B94"/>
    <w:rsid w:val="00C83C91"/>
    <w:rsid w:val="00C86D3A"/>
    <w:rsid w:val="00C90F07"/>
    <w:rsid w:val="00C92BC8"/>
    <w:rsid w:val="00C93500"/>
    <w:rsid w:val="00C93B61"/>
    <w:rsid w:val="00C93E47"/>
    <w:rsid w:val="00C94D09"/>
    <w:rsid w:val="00CB1037"/>
    <w:rsid w:val="00CB52D4"/>
    <w:rsid w:val="00CB7B31"/>
    <w:rsid w:val="00CC5E01"/>
    <w:rsid w:val="00CD0BCA"/>
    <w:rsid w:val="00CD1D7C"/>
    <w:rsid w:val="00CD70C7"/>
    <w:rsid w:val="00CE0EC2"/>
    <w:rsid w:val="00CE1BDD"/>
    <w:rsid w:val="00CE2075"/>
    <w:rsid w:val="00CE2C52"/>
    <w:rsid w:val="00CE4F57"/>
    <w:rsid w:val="00CF04D7"/>
    <w:rsid w:val="00CF0E0D"/>
    <w:rsid w:val="00CF3512"/>
    <w:rsid w:val="00CF5392"/>
    <w:rsid w:val="00D005D8"/>
    <w:rsid w:val="00D01BA9"/>
    <w:rsid w:val="00D07F67"/>
    <w:rsid w:val="00D14C8D"/>
    <w:rsid w:val="00D17017"/>
    <w:rsid w:val="00D229C0"/>
    <w:rsid w:val="00D22CAB"/>
    <w:rsid w:val="00D24E17"/>
    <w:rsid w:val="00D26A02"/>
    <w:rsid w:val="00D322D3"/>
    <w:rsid w:val="00D338F0"/>
    <w:rsid w:val="00D33B69"/>
    <w:rsid w:val="00D435DE"/>
    <w:rsid w:val="00D44D66"/>
    <w:rsid w:val="00D47E86"/>
    <w:rsid w:val="00D518B4"/>
    <w:rsid w:val="00D528CA"/>
    <w:rsid w:val="00D6001A"/>
    <w:rsid w:val="00D6145C"/>
    <w:rsid w:val="00D659C5"/>
    <w:rsid w:val="00D71B09"/>
    <w:rsid w:val="00D73CFD"/>
    <w:rsid w:val="00D73DD9"/>
    <w:rsid w:val="00D74BE5"/>
    <w:rsid w:val="00D7591E"/>
    <w:rsid w:val="00D76FD4"/>
    <w:rsid w:val="00D77454"/>
    <w:rsid w:val="00D90246"/>
    <w:rsid w:val="00D90A24"/>
    <w:rsid w:val="00D90F44"/>
    <w:rsid w:val="00D93069"/>
    <w:rsid w:val="00D93072"/>
    <w:rsid w:val="00D953EA"/>
    <w:rsid w:val="00D96DD1"/>
    <w:rsid w:val="00DA1A79"/>
    <w:rsid w:val="00DB044F"/>
    <w:rsid w:val="00DB3F49"/>
    <w:rsid w:val="00DB6896"/>
    <w:rsid w:val="00DC12D7"/>
    <w:rsid w:val="00DC2B6E"/>
    <w:rsid w:val="00DC3BDE"/>
    <w:rsid w:val="00DC5D70"/>
    <w:rsid w:val="00DC7065"/>
    <w:rsid w:val="00DD1206"/>
    <w:rsid w:val="00DD1DD1"/>
    <w:rsid w:val="00DD61E1"/>
    <w:rsid w:val="00DD7300"/>
    <w:rsid w:val="00DE1115"/>
    <w:rsid w:val="00DE23E7"/>
    <w:rsid w:val="00DF0EAF"/>
    <w:rsid w:val="00DF4A16"/>
    <w:rsid w:val="00DF4FA4"/>
    <w:rsid w:val="00DF6444"/>
    <w:rsid w:val="00E01202"/>
    <w:rsid w:val="00E02D5B"/>
    <w:rsid w:val="00E04D98"/>
    <w:rsid w:val="00E058CA"/>
    <w:rsid w:val="00E05C0F"/>
    <w:rsid w:val="00E108CF"/>
    <w:rsid w:val="00E129DE"/>
    <w:rsid w:val="00E161F4"/>
    <w:rsid w:val="00E2575E"/>
    <w:rsid w:val="00E318EB"/>
    <w:rsid w:val="00E35388"/>
    <w:rsid w:val="00E35A81"/>
    <w:rsid w:val="00E36730"/>
    <w:rsid w:val="00E40434"/>
    <w:rsid w:val="00E42F72"/>
    <w:rsid w:val="00E44D54"/>
    <w:rsid w:val="00E478F4"/>
    <w:rsid w:val="00E53A53"/>
    <w:rsid w:val="00E55FEC"/>
    <w:rsid w:val="00E56C7F"/>
    <w:rsid w:val="00E61ACB"/>
    <w:rsid w:val="00E713AE"/>
    <w:rsid w:val="00E7211F"/>
    <w:rsid w:val="00E74CD4"/>
    <w:rsid w:val="00E74E8A"/>
    <w:rsid w:val="00E77EDC"/>
    <w:rsid w:val="00E80A25"/>
    <w:rsid w:val="00E8165D"/>
    <w:rsid w:val="00E84558"/>
    <w:rsid w:val="00E84E46"/>
    <w:rsid w:val="00E865A6"/>
    <w:rsid w:val="00E90A66"/>
    <w:rsid w:val="00EA10BF"/>
    <w:rsid w:val="00EA747D"/>
    <w:rsid w:val="00EB0CC3"/>
    <w:rsid w:val="00EB27FD"/>
    <w:rsid w:val="00EB3768"/>
    <w:rsid w:val="00EB7592"/>
    <w:rsid w:val="00EB75B1"/>
    <w:rsid w:val="00EC57CF"/>
    <w:rsid w:val="00ED0BAB"/>
    <w:rsid w:val="00EE2974"/>
    <w:rsid w:val="00EF306B"/>
    <w:rsid w:val="00EF6174"/>
    <w:rsid w:val="00EF66E6"/>
    <w:rsid w:val="00EF67A9"/>
    <w:rsid w:val="00F02866"/>
    <w:rsid w:val="00F10572"/>
    <w:rsid w:val="00F14558"/>
    <w:rsid w:val="00F222F5"/>
    <w:rsid w:val="00F22776"/>
    <w:rsid w:val="00F233B1"/>
    <w:rsid w:val="00F236EE"/>
    <w:rsid w:val="00F23A00"/>
    <w:rsid w:val="00F26348"/>
    <w:rsid w:val="00F265C0"/>
    <w:rsid w:val="00F26A3F"/>
    <w:rsid w:val="00F316DF"/>
    <w:rsid w:val="00F44C10"/>
    <w:rsid w:val="00F457B5"/>
    <w:rsid w:val="00F51B79"/>
    <w:rsid w:val="00F537C7"/>
    <w:rsid w:val="00F55331"/>
    <w:rsid w:val="00F566E5"/>
    <w:rsid w:val="00F57F14"/>
    <w:rsid w:val="00F66A8D"/>
    <w:rsid w:val="00F671A9"/>
    <w:rsid w:val="00F750E0"/>
    <w:rsid w:val="00F7724A"/>
    <w:rsid w:val="00F823A4"/>
    <w:rsid w:val="00F84547"/>
    <w:rsid w:val="00F84E06"/>
    <w:rsid w:val="00F852B4"/>
    <w:rsid w:val="00F94EAD"/>
    <w:rsid w:val="00F95059"/>
    <w:rsid w:val="00FA5CB2"/>
    <w:rsid w:val="00FA62E1"/>
    <w:rsid w:val="00FA7AA6"/>
    <w:rsid w:val="00FA7CCE"/>
    <w:rsid w:val="00FB1B7F"/>
    <w:rsid w:val="00FB2149"/>
    <w:rsid w:val="00FB2C04"/>
    <w:rsid w:val="00FB60FC"/>
    <w:rsid w:val="00FB6BAB"/>
    <w:rsid w:val="00FB78CF"/>
    <w:rsid w:val="00FD100F"/>
    <w:rsid w:val="00FD465E"/>
    <w:rsid w:val="00FD48CA"/>
    <w:rsid w:val="00FE6E54"/>
    <w:rsid w:val="00FF1C1A"/>
    <w:rsid w:val="00FF3FB0"/>
    <w:rsid w:val="00FF7D9F"/>
    <w:rsid w:val="038A3B3A"/>
    <w:rsid w:val="075B2A1A"/>
    <w:rsid w:val="0A5362DA"/>
    <w:rsid w:val="128A4D79"/>
    <w:rsid w:val="17AB1593"/>
    <w:rsid w:val="1B3306D8"/>
    <w:rsid w:val="1B884C95"/>
    <w:rsid w:val="1BE20D85"/>
    <w:rsid w:val="1F6C1201"/>
    <w:rsid w:val="22113B9E"/>
    <w:rsid w:val="2C844B88"/>
    <w:rsid w:val="2C9D5609"/>
    <w:rsid w:val="30BA35C5"/>
    <w:rsid w:val="34175C19"/>
    <w:rsid w:val="37A71693"/>
    <w:rsid w:val="37FB5362"/>
    <w:rsid w:val="3BFFA31B"/>
    <w:rsid w:val="3C73272E"/>
    <w:rsid w:val="3CAA188F"/>
    <w:rsid w:val="3DD91E7E"/>
    <w:rsid w:val="3DEB3B1A"/>
    <w:rsid w:val="3FAF7941"/>
    <w:rsid w:val="415103B0"/>
    <w:rsid w:val="44F261EE"/>
    <w:rsid w:val="45084BD1"/>
    <w:rsid w:val="45BF079D"/>
    <w:rsid w:val="518E624C"/>
    <w:rsid w:val="534F42CB"/>
    <w:rsid w:val="57167C7B"/>
    <w:rsid w:val="57FEFE5B"/>
    <w:rsid w:val="5E5B6116"/>
    <w:rsid w:val="5F31BC08"/>
    <w:rsid w:val="5FEFD190"/>
    <w:rsid w:val="625C1234"/>
    <w:rsid w:val="63D47C19"/>
    <w:rsid w:val="64D171C3"/>
    <w:rsid w:val="693249D3"/>
    <w:rsid w:val="6B020EFE"/>
    <w:rsid w:val="77444F05"/>
    <w:rsid w:val="7D7EB95B"/>
    <w:rsid w:val="7DF72C57"/>
    <w:rsid w:val="7FAF6DAF"/>
    <w:rsid w:val="7FCB8F24"/>
    <w:rsid w:val="99BF9EAA"/>
    <w:rsid w:val="ABF3E7F5"/>
    <w:rsid w:val="B3DF7283"/>
    <w:rsid w:val="CFF5DB0E"/>
    <w:rsid w:val="D77EFEE8"/>
    <w:rsid w:val="DFAF2897"/>
    <w:rsid w:val="DFFF7FDC"/>
    <w:rsid w:val="F18F7352"/>
    <w:rsid w:val="F7FC5CC6"/>
    <w:rsid w:val="FB9755A9"/>
    <w:rsid w:val="FEF8B5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Layout w:type="fixed"/>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框文本 字符"/>
    <w:basedOn w:val="10"/>
    <w:link w:val="3"/>
    <w:semiHidden/>
    <w:qFormat/>
    <w:uiPriority w:val="99"/>
    <w:rPr>
      <w:sz w:val="18"/>
      <w:szCs w:val="18"/>
    </w:rPr>
  </w:style>
  <w:style w:type="paragraph" w:customStyle="1" w:styleId="15">
    <w:name w:val="List Paragraph"/>
    <w:basedOn w:val="1"/>
    <w:qFormat/>
    <w:uiPriority w:val="99"/>
    <w:pPr>
      <w:ind w:firstLine="420" w:firstLineChars="200"/>
    </w:pPr>
  </w:style>
  <w:style w:type="character" w:customStyle="1" w:styleId="16">
    <w:name w:val="批注文字 字符"/>
    <w:basedOn w:val="10"/>
    <w:link w:val="2"/>
    <w:semiHidden/>
    <w:qFormat/>
    <w:uiPriority w:val="99"/>
    <w:rPr>
      <w:kern w:val="2"/>
      <w:sz w:val="21"/>
      <w:szCs w:val="22"/>
    </w:rPr>
  </w:style>
  <w:style w:type="character" w:customStyle="1" w:styleId="17">
    <w:name w:val="批注主题 字符"/>
    <w:basedOn w:val="16"/>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1059</Words>
  <Characters>6042</Characters>
  <Lines>50</Lines>
  <Paragraphs>14</Paragraphs>
  <TotalTime>0</TotalTime>
  <ScaleCrop>false</ScaleCrop>
  <LinksUpToDate>false</LinksUpToDate>
  <CharactersWithSpaces>7087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2019-04-08T07:11:00Z</dcterms:created>
  <dc:creator>LENOVO</dc:creator>
  <cp:lastModifiedBy>世平Ruan</cp:lastModifiedBy>
  <cp:lastPrinted>2019-03-26T16:53:00Z</cp:lastPrinted>
  <dcterms:modified xsi:type="dcterms:W3CDTF">2019-04-15T23:41:22Z</dcterms:modified>
  <dc:title>浙江科技学院推进新一轮学科建设的实施意见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